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7C50" w:rsidRDefault="00914A4B" w:rsidP="0049353E">
      <w:pPr>
        <w:pStyle w:val="Default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447C50">
        <w:rPr>
          <w:rFonts w:ascii="Tahoma" w:hAnsi="Tahoma" w:cs="Tahom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4077" w:rsidRDefault="00474077" w:rsidP="0049353E">
      <w:pPr>
        <w:pStyle w:val="Default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RAPPORTO IFEL FEDERSANITA’ SULLA SPESA SOCIALE DEI COMUNI: TANTA STRADA DA FARE VERSO IL PNRR</w:t>
      </w:r>
    </w:p>
    <w:p w:rsidR="00474077" w:rsidRDefault="00474077" w:rsidP="0049353E">
      <w:pPr>
        <w:pStyle w:val="Default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 Tiziana Frittelli, Presidente di Federsanità</w:t>
      </w:r>
      <w:r w:rsidR="003A2945">
        <w:rPr>
          <w:rFonts w:ascii="Tahoma" w:hAnsi="Tahoma" w:cs="Tahoma"/>
        </w:rPr>
        <w:t>-Confederazione delle Federsanità Anci regionali</w:t>
      </w:r>
    </w:p>
    <w:p w:rsidR="00474077" w:rsidRDefault="00474077" w:rsidP="0049353E">
      <w:pPr>
        <w:pStyle w:val="Default"/>
        <w:spacing w:line="276" w:lineRule="auto"/>
        <w:jc w:val="both"/>
        <w:rPr>
          <w:rFonts w:ascii="Tahoma" w:hAnsi="Tahoma" w:cs="Tahoma"/>
        </w:rPr>
      </w:pPr>
    </w:p>
    <w:p w:rsidR="0049353E" w:rsidRPr="00DB5ABE" w:rsidRDefault="00F86D07" w:rsidP="0049353E">
      <w:pPr>
        <w:pStyle w:val="Default"/>
        <w:spacing w:line="276" w:lineRule="auto"/>
        <w:jc w:val="both"/>
        <w:rPr>
          <w:rFonts w:ascii="Tahoma" w:hAnsi="Tahoma" w:cs="Tahoma"/>
          <w:b/>
          <w:color w:val="auto"/>
        </w:rPr>
      </w:pPr>
      <w:r w:rsidRPr="00F86D07">
        <w:rPr>
          <w:rFonts w:ascii="Tahoma" w:hAnsi="Tahoma" w:cs="Tahoma"/>
        </w:rPr>
        <w:t xml:space="preserve">E’ stato presentato </w:t>
      </w:r>
      <w:r>
        <w:rPr>
          <w:rFonts w:ascii="Tahoma" w:hAnsi="Tahoma" w:cs="Tahoma"/>
        </w:rPr>
        <w:t>oggi il Rapporto sui Servizi socio-sanitari dei Comuni ital</w:t>
      </w:r>
      <w:r w:rsidR="00DB5ABE">
        <w:rPr>
          <w:rFonts w:ascii="Tahoma" w:hAnsi="Tahoma" w:cs="Tahoma"/>
        </w:rPr>
        <w:t>iani, elaborato da Federsanità</w:t>
      </w:r>
      <w:r w:rsidR="00746EF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e Ifel</w:t>
      </w:r>
      <w:r w:rsidR="00DB5ABE">
        <w:rPr>
          <w:rFonts w:ascii="Tahoma" w:hAnsi="Tahoma" w:cs="Tahoma"/>
        </w:rPr>
        <w:t xml:space="preserve"> (Istituto per la Finanza e l’Economia Locale)</w:t>
      </w:r>
      <w:r>
        <w:rPr>
          <w:rFonts w:ascii="Tahoma" w:hAnsi="Tahoma" w:cs="Tahoma"/>
        </w:rPr>
        <w:t>, sulla base dei dati Istat 2023, relativi all’anno 2020. Il rapporto mette in evidenza una serie di dati preoccupanti sul versante dell’integrazione socio-sanitaria.</w:t>
      </w:r>
      <w:r w:rsidR="002B6CDC">
        <w:rPr>
          <w:rFonts w:ascii="Tahoma" w:hAnsi="Tahoma" w:cs="Tahoma"/>
        </w:rPr>
        <w:t xml:space="preserve"> Ci apprestiamo a mettere in campo g</w:t>
      </w:r>
      <w:r w:rsidR="006F5462">
        <w:rPr>
          <w:rFonts w:ascii="Tahoma" w:hAnsi="Tahoma" w:cs="Tahoma"/>
        </w:rPr>
        <w:t xml:space="preserve">li strumenti previsti dal DM 77 sulla </w:t>
      </w:r>
      <w:r w:rsidR="00541BDD">
        <w:rPr>
          <w:rFonts w:ascii="Tahoma" w:hAnsi="Tahoma" w:cs="Tahoma"/>
        </w:rPr>
        <w:t xml:space="preserve"> </w:t>
      </w:r>
      <w:r w:rsidR="00746EF9">
        <w:rPr>
          <w:rFonts w:ascii="Tahoma" w:hAnsi="Tahoma" w:cs="Tahoma"/>
        </w:rPr>
        <w:t>nuova sanità</w:t>
      </w:r>
      <w:r w:rsidR="002B6CDC">
        <w:rPr>
          <w:rFonts w:ascii="Tahoma" w:hAnsi="Tahoma" w:cs="Tahoma"/>
        </w:rPr>
        <w:t xml:space="preserve"> territoriale, seppure rivisti numericamente al ribasso</w:t>
      </w:r>
      <w:r w:rsidR="00FF21CB">
        <w:rPr>
          <w:rFonts w:ascii="Tahoma" w:hAnsi="Tahoma" w:cs="Tahoma"/>
        </w:rPr>
        <w:t xml:space="preserve"> a causa della rimodulazione del PNRR</w:t>
      </w:r>
      <w:r w:rsidR="002B6CDC">
        <w:rPr>
          <w:rFonts w:ascii="Tahoma" w:hAnsi="Tahoma" w:cs="Tahoma"/>
        </w:rPr>
        <w:t>, che presuppongono una forte integrazione con l’assistenza sociale offerta dai Comuni</w:t>
      </w:r>
      <w:r w:rsidR="00746EF9">
        <w:rPr>
          <w:rFonts w:ascii="Tahoma" w:hAnsi="Tahoma" w:cs="Tahoma"/>
        </w:rPr>
        <w:t>. Infatti,</w:t>
      </w:r>
      <w:r w:rsidR="002B6CDC">
        <w:rPr>
          <w:rFonts w:ascii="Tahoma" w:hAnsi="Tahoma" w:cs="Tahoma"/>
        </w:rPr>
        <w:t xml:space="preserve"> per evitare il fenomeno delle sliding doors</w:t>
      </w:r>
      <w:r w:rsidR="00746EF9">
        <w:rPr>
          <w:rFonts w:ascii="Tahoma" w:hAnsi="Tahoma" w:cs="Tahoma"/>
        </w:rPr>
        <w:t xml:space="preserve"> della fragilità </w:t>
      </w:r>
      <w:r w:rsidR="00FF21CB">
        <w:rPr>
          <w:rFonts w:ascii="Tahoma" w:hAnsi="Tahoma" w:cs="Tahoma"/>
        </w:rPr>
        <w:t>sociale verso l’assistenza sanitaria che, comunque, non e’ in grado di fornire una presa in carico integrale, allargata alle esigenze sociali del paziente fragile</w:t>
      </w:r>
      <w:r w:rsidR="00746EF9">
        <w:rPr>
          <w:rFonts w:ascii="Tahoma" w:hAnsi="Tahoma" w:cs="Tahoma"/>
        </w:rPr>
        <w:t>, occorrono processi integrati e finanziamenti dedicati alla non autosufficienza e alla disabilità</w:t>
      </w:r>
      <w:r w:rsidR="00FF21CB">
        <w:rPr>
          <w:rFonts w:ascii="Tahoma" w:hAnsi="Tahoma" w:cs="Tahoma"/>
        </w:rPr>
        <w:t xml:space="preserve">. </w:t>
      </w:r>
      <w:r w:rsidR="00FF21CB" w:rsidRPr="00FF21CB">
        <w:rPr>
          <w:rFonts w:ascii="Arial" w:eastAsia="Times New Roman" w:hAnsi="Arial" w:cs="Arial"/>
          <w:color w:val="333333"/>
        </w:rPr>
        <w:t>Il DM 77</w:t>
      </w:r>
      <w:r w:rsidR="006F5462">
        <w:rPr>
          <w:rFonts w:ascii="Arial" w:eastAsia="Times New Roman" w:hAnsi="Arial" w:cs="Arial"/>
          <w:color w:val="333333"/>
        </w:rPr>
        <w:t xml:space="preserve">, </w:t>
      </w:r>
      <w:r w:rsidR="00FF21CB" w:rsidRPr="00FF21CB">
        <w:rPr>
          <w:rFonts w:ascii="Arial" w:eastAsia="Times New Roman" w:hAnsi="Arial" w:cs="Arial"/>
          <w:color w:val="333333"/>
        </w:rPr>
        <w:t xml:space="preserve"> prevede strumenti nuovi di integrazione: il Pu</w:t>
      </w:r>
      <w:r w:rsidR="00DB5ABE">
        <w:rPr>
          <w:rFonts w:ascii="Arial" w:eastAsia="Times New Roman" w:hAnsi="Arial" w:cs="Arial"/>
          <w:color w:val="333333"/>
        </w:rPr>
        <w:t>nto Unico di Accesso presso le C</w:t>
      </w:r>
      <w:r w:rsidR="00FF21CB" w:rsidRPr="00FF21CB">
        <w:rPr>
          <w:rFonts w:ascii="Arial" w:eastAsia="Times New Roman" w:hAnsi="Arial" w:cs="Arial"/>
          <w:color w:val="333333"/>
        </w:rPr>
        <w:t>ase di comunità, dove avverrà la valutazione multidimensionale congiunta tra aziende sanitarie ed enti locali</w:t>
      </w:r>
      <w:r w:rsidR="00746EF9">
        <w:rPr>
          <w:rFonts w:ascii="Arial" w:eastAsia="Times New Roman" w:hAnsi="Arial" w:cs="Arial"/>
          <w:color w:val="333333"/>
        </w:rPr>
        <w:t xml:space="preserve"> per le persone non autosufficienti</w:t>
      </w:r>
      <w:r w:rsidR="00FF21CB" w:rsidRPr="00FF21CB">
        <w:rPr>
          <w:rFonts w:ascii="Arial" w:eastAsia="Times New Roman" w:hAnsi="Arial" w:cs="Arial"/>
          <w:color w:val="333333"/>
        </w:rPr>
        <w:t>; le Centrali Operative Territoriali, strumento fondamentale di coordinamento della presa in carico della persona e raccordo tra servizi e professionisti coinvolti nei diversi setting assistenziali, sanitari e sociosanitari, in dialogo con la rete dell’emergenza urgenza; il 116117, per ogni esigenza sanitaria e socio-sanitaria a bassa i</w:t>
      </w:r>
      <w:r w:rsidR="00FF21CB">
        <w:rPr>
          <w:rFonts w:ascii="Arial" w:eastAsia="Times New Roman" w:hAnsi="Arial" w:cs="Arial"/>
          <w:color w:val="333333"/>
        </w:rPr>
        <w:t>ntensità assistenziale; l’assi</w:t>
      </w:r>
      <w:r w:rsidR="00746EF9">
        <w:rPr>
          <w:rFonts w:ascii="Arial" w:eastAsia="Times New Roman" w:hAnsi="Arial" w:cs="Arial"/>
          <w:color w:val="333333"/>
        </w:rPr>
        <w:t>s</w:t>
      </w:r>
      <w:r w:rsidR="00FF21CB">
        <w:rPr>
          <w:rFonts w:ascii="Arial" w:eastAsia="Times New Roman" w:hAnsi="Arial" w:cs="Arial"/>
          <w:color w:val="333333"/>
        </w:rPr>
        <w:t>tenza domiciliare integrata e la teleassi</w:t>
      </w:r>
      <w:r w:rsidR="00746EF9">
        <w:rPr>
          <w:rFonts w:ascii="Arial" w:eastAsia="Times New Roman" w:hAnsi="Arial" w:cs="Arial"/>
          <w:color w:val="333333"/>
        </w:rPr>
        <w:t>s</w:t>
      </w:r>
      <w:r w:rsidR="00FF21CB">
        <w:rPr>
          <w:rFonts w:ascii="Arial" w:eastAsia="Times New Roman" w:hAnsi="Arial" w:cs="Arial"/>
          <w:color w:val="333333"/>
        </w:rPr>
        <w:t>tenza, i cui fondi sono stati incrementati a seguito della rimodulazione del PNRR</w:t>
      </w:r>
      <w:r w:rsidR="003A2945">
        <w:rPr>
          <w:rFonts w:ascii="Arial" w:eastAsia="Times New Roman" w:hAnsi="Arial" w:cs="Arial"/>
          <w:color w:val="333333"/>
        </w:rPr>
        <w:t>, vero punto di svolta verso la sostenibilità del sistema</w:t>
      </w:r>
      <w:r w:rsidR="00FF21CB">
        <w:rPr>
          <w:rFonts w:ascii="Arial" w:eastAsia="Times New Roman" w:hAnsi="Arial" w:cs="Arial"/>
          <w:color w:val="333333"/>
        </w:rPr>
        <w:t>. L’integr</w:t>
      </w:r>
      <w:r w:rsidR="00746EF9">
        <w:rPr>
          <w:rFonts w:ascii="Arial" w:eastAsia="Times New Roman" w:hAnsi="Arial" w:cs="Arial"/>
          <w:color w:val="333333"/>
        </w:rPr>
        <w:t>azione sociosanitaria si avvarrà</w:t>
      </w:r>
      <w:r w:rsidR="00FF21CB">
        <w:rPr>
          <w:rFonts w:ascii="Arial" w:eastAsia="Times New Roman" w:hAnsi="Arial" w:cs="Arial"/>
          <w:color w:val="333333"/>
        </w:rPr>
        <w:t>’ di questi strumenti e processi innovativi, orientata da logiche di inte</w:t>
      </w:r>
      <w:r w:rsidR="003A2945">
        <w:rPr>
          <w:rFonts w:ascii="Arial" w:eastAsia="Times New Roman" w:hAnsi="Arial" w:cs="Arial"/>
          <w:color w:val="333333"/>
        </w:rPr>
        <w:t>grazione e multiprofessionalità</w:t>
      </w:r>
      <w:r w:rsidR="00746EF9">
        <w:rPr>
          <w:rFonts w:ascii="Arial" w:eastAsia="Times New Roman" w:hAnsi="Arial" w:cs="Arial"/>
          <w:color w:val="333333"/>
        </w:rPr>
        <w:t>, ma non potrà</w:t>
      </w:r>
      <w:r w:rsidR="00FF21CB">
        <w:rPr>
          <w:rFonts w:ascii="Arial" w:eastAsia="Times New Roman" w:hAnsi="Arial" w:cs="Arial"/>
          <w:color w:val="333333"/>
        </w:rPr>
        <w:t xml:space="preserve"> prescindere </w:t>
      </w:r>
      <w:r w:rsidR="00746EF9">
        <w:rPr>
          <w:rFonts w:ascii="Arial" w:eastAsia="Times New Roman" w:hAnsi="Arial" w:cs="Arial"/>
          <w:color w:val="333333"/>
        </w:rPr>
        <w:t>dall’entità</w:t>
      </w:r>
      <w:r w:rsidR="00753BF9">
        <w:rPr>
          <w:rFonts w:ascii="Arial" w:eastAsia="Times New Roman" w:hAnsi="Arial" w:cs="Arial"/>
          <w:color w:val="333333"/>
        </w:rPr>
        <w:t xml:space="preserve"> dei finanziamenti disponibili sui territori.</w:t>
      </w:r>
      <w:r w:rsidR="0049353E">
        <w:rPr>
          <w:rFonts w:ascii="Arial" w:eastAsia="Times New Roman" w:hAnsi="Arial" w:cs="Arial"/>
          <w:color w:val="333333"/>
        </w:rPr>
        <w:t xml:space="preserve"> Dal 2013 al 2020 la spesa sociale dei comuni, pari nel 2020 a 7,85 mld, e’ cresciuta solo di 1 mld, nonostante l’invecchiamento progressivo della popolazione italiana</w:t>
      </w:r>
      <w:r w:rsidR="0049353E" w:rsidRPr="00DB5ABE">
        <w:rPr>
          <w:rFonts w:ascii="Tahoma" w:eastAsia="Times New Roman" w:hAnsi="Tahoma" w:cs="Tahoma"/>
          <w:color w:val="333333"/>
        </w:rPr>
        <w:t xml:space="preserve">. Nel 2020 (ultimo dato disponibile) </w:t>
      </w:r>
      <w:r w:rsidR="0049353E" w:rsidRPr="00DB5ABE">
        <w:rPr>
          <w:rFonts w:ascii="Tahoma" w:hAnsi="Tahoma" w:cs="Tahoma"/>
          <w:color w:val="auto"/>
        </w:rPr>
        <w:t>la spesa dei comuni per i servizi sociali per abitante è stata pari a</w:t>
      </w:r>
      <w:r w:rsidR="0049353E" w:rsidRPr="00DB5ABE">
        <w:rPr>
          <w:rFonts w:ascii="Tahoma" w:hAnsi="Tahoma" w:cs="Tahoma"/>
          <w:b/>
          <w:color w:val="auto"/>
        </w:rPr>
        <w:t xml:space="preserve"> 132 euro</w:t>
      </w:r>
      <w:r w:rsidR="0049353E" w:rsidRPr="00DB5ABE">
        <w:rPr>
          <w:rFonts w:ascii="Tahoma" w:hAnsi="Tahoma" w:cs="Tahoma"/>
          <w:color w:val="auto"/>
        </w:rPr>
        <w:t xml:space="preserve"> (era di 114 euro pro capite nel 2013)</w:t>
      </w:r>
      <w:r w:rsidR="00DB5ABE">
        <w:rPr>
          <w:rFonts w:ascii="Tahoma" w:hAnsi="Tahoma" w:cs="Tahoma"/>
          <w:color w:val="auto"/>
        </w:rPr>
        <w:t>,</w:t>
      </w:r>
      <w:r w:rsidR="0049353E" w:rsidRPr="00DB5ABE">
        <w:rPr>
          <w:rFonts w:ascii="Tahoma" w:hAnsi="Tahoma" w:cs="Tahoma"/>
          <w:color w:val="auto"/>
        </w:rPr>
        <w:t xml:space="preserve"> con differenze molto ampie a livello di ripartizione geografica: nel </w:t>
      </w:r>
      <w:r w:rsidR="0049353E" w:rsidRPr="00DB5ABE">
        <w:rPr>
          <w:rFonts w:ascii="Tahoma" w:hAnsi="Tahoma" w:cs="Tahoma"/>
          <w:b/>
          <w:color w:val="auto"/>
        </w:rPr>
        <w:t>Mezzogiorno è pari a 87 euro</w:t>
      </w:r>
      <w:r w:rsidR="0049353E" w:rsidRPr="00DB5ABE">
        <w:rPr>
          <w:rFonts w:ascii="Tahoma" w:hAnsi="Tahoma" w:cs="Tahoma"/>
          <w:color w:val="auto"/>
        </w:rPr>
        <w:t xml:space="preserve">, circa la metà del dato registrato al </w:t>
      </w:r>
      <w:r w:rsidR="0049353E" w:rsidRPr="00DB5ABE">
        <w:rPr>
          <w:rFonts w:ascii="Tahoma" w:hAnsi="Tahoma" w:cs="Tahoma"/>
          <w:b/>
          <w:color w:val="auto"/>
        </w:rPr>
        <w:t xml:space="preserve">Nord (161 euro). </w:t>
      </w:r>
    </w:p>
    <w:p w:rsidR="0049353E" w:rsidRPr="00DB5ABE" w:rsidRDefault="0049353E" w:rsidP="0049353E">
      <w:pPr>
        <w:pStyle w:val="Default"/>
        <w:spacing w:line="276" w:lineRule="auto"/>
        <w:jc w:val="both"/>
        <w:rPr>
          <w:rFonts w:ascii="Tahoma" w:hAnsi="Tahoma" w:cs="Tahoma"/>
          <w:color w:val="auto"/>
        </w:rPr>
      </w:pPr>
      <w:r w:rsidRPr="00DB5ABE">
        <w:rPr>
          <w:rFonts w:ascii="Tahoma" w:hAnsi="Tahoma" w:cs="Tahoma"/>
          <w:color w:val="auto"/>
        </w:rPr>
        <w:t xml:space="preserve">In particolare, scendendo a livello regionale, si riscontrano dati davvero eterogenei: dai </w:t>
      </w:r>
      <w:r w:rsidRPr="00DB5ABE">
        <w:rPr>
          <w:rFonts w:ascii="Tahoma" w:hAnsi="Tahoma" w:cs="Tahoma"/>
          <w:b/>
          <w:color w:val="auto"/>
        </w:rPr>
        <w:t xml:space="preserve">28 euro pro capite della Calabria ai 413 euro per abitante del Trentino-Alto Adige, </w:t>
      </w:r>
      <w:r w:rsidRPr="00DB5ABE">
        <w:rPr>
          <w:rFonts w:ascii="Tahoma" w:hAnsi="Tahoma" w:cs="Tahoma"/>
          <w:color w:val="auto"/>
        </w:rPr>
        <w:t>con</w:t>
      </w:r>
      <w:r w:rsidRPr="00DB5ABE">
        <w:rPr>
          <w:rFonts w:ascii="Tahoma" w:hAnsi="Tahoma" w:cs="Tahoma"/>
          <w:b/>
          <w:color w:val="auto"/>
        </w:rPr>
        <w:t xml:space="preserve"> </w:t>
      </w:r>
      <w:r w:rsidR="00DB5ABE">
        <w:rPr>
          <w:rFonts w:ascii="Tahoma" w:hAnsi="Tahoma" w:cs="Tahoma"/>
          <w:color w:val="auto"/>
        </w:rPr>
        <w:t>l’unica eccezione per il sud</w:t>
      </w:r>
      <w:r w:rsidRPr="00DB5ABE">
        <w:rPr>
          <w:rFonts w:ascii="Tahoma" w:hAnsi="Tahoma" w:cs="Tahoma"/>
          <w:color w:val="auto"/>
        </w:rPr>
        <w:t xml:space="preserve"> rappresentata dalla </w:t>
      </w:r>
      <w:r w:rsidRPr="00DB5ABE">
        <w:rPr>
          <w:rFonts w:ascii="Tahoma" w:hAnsi="Tahoma" w:cs="Tahoma"/>
          <w:b/>
          <w:color w:val="auto"/>
        </w:rPr>
        <w:t xml:space="preserve">Sardegna </w:t>
      </w:r>
      <w:r w:rsidRPr="00DB5ABE">
        <w:rPr>
          <w:rFonts w:ascii="Tahoma" w:hAnsi="Tahoma" w:cs="Tahoma"/>
          <w:color w:val="auto"/>
        </w:rPr>
        <w:t>che, con</w:t>
      </w:r>
      <w:r w:rsidRPr="00DB5ABE">
        <w:rPr>
          <w:rFonts w:ascii="Tahoma" w:hAnsi="Tahoma" w:cs="Tahoma"/>
          <w:b/>
          <w:color w:val="auto"/>
        </w:rPr>
        <w:t xml:space="preserve"> 283 euro</w:t>
      </w:r>
      <w:r w:rsidRPr="00DB5ABE">
        <w:rPr>
          <w:rFonts w:ascii="Tahoma" w:hAnsi="Tahoma" w:cs="Tahoma"/>
          <w:color w:val="auto"/>
        </w:rPr>
        <w:t xml:space="preserve"> di uscite per cittadino, è stata seconda a livello nazionale.</w:t>
      </w:r>
      <w:r w:rsidR="00893A70">
        <w:rPr>
          <w:rFonts w:ascii="Tahoma" w:hAnsi="Tahoma" w:cs="Tahoma"/>
          <w:color w:val="auto"/>
        </w:rPr>
        <w:t xml:space="preserve"> E’ indispensabile arrivare, quanto prima, alla definizione dei Livelli Essenziali di Prestazioni sociali, al loro fabbisogno e ai costi standard, soprattutto per dare omogeneità alla presa in carico</w:t>
      </w:r>
      <w:r w:rsidR="00823D16">
        <w:rPr>
          <w:rFonts w:ascii="Tahoma" w:hAnsi="Tahoma" w:cs="Tahoma"/>
          <w:color w:val="auto"/>
        </w:rPr>
        <w:t xml:space="preserve"> e alla programmazione</w:t>
      </w:r>
      <w:r w:rsidR="00893A70">
        <w:rPr>
          <w:rFonts w:ascii="Tahoma" w:hAnsi="Tahoma" w:cs="Tahoma"/>
          <w:color w:val="auto"/>
        </w:rPr>
        <w:t xml:space="preserve"> </w:t>
      </w:r>
      <w:r w:rsidR="00823D16">
        <w:rPr>
          <w:rFonts w:ascii="Tahoma" w:hAnsi="Tahoma" w:cs="Tahoma"/>
          <w:color w:val="auto"/>
        </w:rPr>
        <w:t xml:space="preserve">in ambito </w:t>
      </w:r>
      <w:r w:rsidR="00893A70">
        <w:rPr>
          <w:rFonts w:ascii="Tahoma" w:hAnsi="Tahoma" w:cs="Tahoma"/>
          <w:color w:val="auto"/>
        </w:rPr>
        <w:t>s</w:t>
      </w:r>
      <w:r w:rsidR="00823D16">
        <w:rPr>
          <w:rFonts w:ascii="Tahoma" w:hAnsi="Tahoma" w:cs="Tahoma"/>
          <w:color w:val="auto"/>
        </w:rPr>
        <w:t xml:space="preserve">ociale, che incide pesantemente </w:t>
      </w:r>
      <w:r w:rsidR="00893A70">
        <w:rPr>
          <w:rFonts w:ascii="Tahoma" w:hAnsi="Tahoma" w:cs="Tahoma"/>
          <w:color w:val="auto"/>
        </w:rPr>
        <w:t>sui determinanti di salute</w:t>
      </w:r>
      <w:r w:rsidR="00823D16">
        <w:rPr>
          <w:rFonts w:ascii="Tahoma" w:hAnsi="Tahoma" w:cs="Tahoma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 </w:t>
      </w:r>
    </w:p>
    <w:p w:rsidR="0049353E" w:rsidRPr="00DB5ABE" w:rsidRDefault="002662F3" w:rsidP="0049353E">
      <w:pPr>
        <w:pStyle w:val="Default"/>
        <w:spacing w:line="276" w:lineRule="auto"/>
        <w:jc w:val="both"/>
        <w:rPr>
          <w:rFonts w:ascii="Tahoma" w:hAnsi="Tahoma" w:cs="Tahoma"/>
          <w:color w:val="auto"/>
        </w:rPr>
      </w:pPr>
      <w:r w:rsidRPr="00DB5ABE">
        <w:rPr>
          <w:rFonts w:ascii="Tahoma" w:hAnsi="Tahoma" w:cs="Tahoma"/>
          <w:color w:val="auto"/>
        </w:rPr>
        <w:t>E</w:t>
      </w:r>
      <w:r w:rsidR="00823D16">
        <w:rPr>
          <w:rFonts w:ascii="Tahoma" w:hAnsi="Tahoma" w:cs="Tahoma"/>
          <w:color w:val="auto"/>
        </w:rPr>
        <w:t xml:space="preserve">siste, infatti, </w:t>
      </w:r>
      <w:r w:rsidR="00F3746B" w:rsidRPr="00DB5ABE">
        <w:rPr>
          <w:rFonts w:ascii="Tahoma" w:hAnsi="Tahoma" w:cs="Tahoma"/>
          <w:color w:val="auto"/>
        </w:rPr>
        <w:t xml:space="preserve">una preoccupante simmetria tra indicatori del </w:t>
      </w:r>
      <w:r w:rsidR="00F3746B" w:rsidRPr="00DB5ABE">
        <w:rPr>
          <w:rFonts w:ascii="Tahoma" w:hAnsi="Tahoma" w:cs="Tahoma"/>
          <w:b/>
          <w:color w:val="auto"/>
        </w:rPr>
        <w:t>Nuovo sistema di garanzia</w:t>
      </w:r>
      <w:r w:rsidR="00F3746B" w:rsidRPr="00DB5ABE">
        <w:rPr>
          <w:rFonts w:ascii="Tahoma" w:hAnsi="Tahoma" w:cs="Tahoma"/>
          <w:color w:val="auto"/>
        </w:rPr>
        <w:t xml:space="preserve"> e spesa sociale dei Comuni</w:t>
      </w:r>
      <w:r w:rsidRPr="00DB5ABE">
        <w:rPr>
          <w:rFonts w:ascii="Tahoma" w:hAnsi="Tahoma" w:cs="Tahoma"/>
          <w:color w:val="auto"/>
        </w:rPr>
        <w:t>, nel senso che di massima si registra un Livello Essenziale di Assistenza inferiore dove inferiori sono i finanziamenti per la spesa sociale dei Comuni.</w:t>
      </w:r>
    </w:p>
    <w:p w:rsidR="002662F3" w:rsidRPr="0049353E" w:rsidRDefault="002662F3" w:rsidP="0049353E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</w:rPr>
      </w:pPr>
      <w:r w:rsidRPr="002662F3">
        <w:rPr>
          <w:rFonts w:asciiTheme="minorHAnsi" w:hAnsiTheme="minorHAnsi" w:cstheme="minorHAnsi"/>
          <w:b/>
          <w:noProof/>
          <w:color w:val="auto"/>
        </w:rPr>
        <w:drawing>
          <wp:inline distT="0" distB="0" distL="0" distR="0" wp14:anchorId="24725578" wp14:editId="791301E6">
            <wp:extent cx="5529298" cy="31102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4877" cy="3130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EBB" w:rsidRDefault="00C20EBB" w:rsidP="00C20EBB">
      <w:pPr>
        <w:pStyle w:val="Paragrafoelenco"/>
        <w:spacing w:line="276" w:lineRule="auto"/>
        <w:ind w:left="0"/>
        <w:jc w:val="both"/>
        <w:rPr>
          <w:rFonts w:asciiTheme="minorHAnsi" w:eastAsia="DIN-Bold" w:hAnsiTheme="minorHAnsi" w:cstheme="minorHAnsi"/>
          <w:bCs/>
        </w:rPr>
      </w:pPr>
      <w:r w:rsidRPr="00C20EBB">
        <w:rPr>
          <w:rFonts w:asciiTheme="minorHAnsi" w:eastAsia="DIN-Bold" w:hAnsiTheme="minorHAnsi" w:cstheme="minorHAnsi"/>
          <w:bCs/>
        </w:rPr>
        <w:t xml:space="preserve">I dati </w:t>
      </w:r>
      <w:r>
        <w:rPr>
          <w:rFonts w:asciiTheme="minorHAnsi" w:eastAsia="DIN-Bold" w:hAnsiTheme="minorHAnsi" w:cstheme="minorHAnsi"/>
          <w:bCs/>
        </w:rPr>
        <w:t>del rapporto mettono in luce come</w:t>
      </w:r>
      <w:r w:rsidR="00DB5ABE">
        <w:rPr>
          <w:rFonts w:asciiTheme="minorHAnsi" w:eastAsia="DIN-Bold" w:hAnsiTheme="minorHAnsi" w:cstheme="minorHAnsi"/>
          <w:bCs/>
        </w:rPr>
        <w:t>,</w:t>
      </w:r>
      <w:r>
        <w:rPr>
          <w:rFonts w:asciiTheme="minorHAnsi" w:eastAsia="DIN-Bold" w:hAnsiTheme="minorHAnsi" w:cstheme="minorHAnsi"/>
          <w:bCs/>
        </w:rPr>
        <w:t xml:space="preserve"> nell’arco di un decennio</w:t>
      </w:r>
      <w:r w:rsidR="00DB5ABE">
        <w:rPr>
          <w:rFonts w:asciiTheme="minorHAnsi" w:eastAsia="DIN-Bold" w:hAnsiTheme="minorHAnsi" w:cstheme="minorHAnsi"/>
          <w:bCs/>
        </w:rPr>
        <w:t>,</w:t>
      </w:r>
      <w:r>
        <w:rPr>
          <w:rFonts w:asciiTheme="minorHAnsi" w:eastAsia="DIN-Bold" w:hAnsiTheme="minorHAnsi" w:cstheme="minorHAnsi"/>
          <w:bCs/>
        </w:rPr>
        <w:t xml:space="preserve"> sia variata la componente di spesa sociale: </w:t>
      </w:r>
      <w:r w:rsidRPr="00C20EBB">
        <w:rPr>
          <w:rFonts w:asciiTheme="minorHAnsi" w:eastAsia="DIN-Bold" w:hAnsiTheme="minorHAnsi" w:cstheme="minorHAnsi"/>
          <w:bCs/>
        </w:rPr>
        <w:t>a livello complessivo la variazione percentuale della spesa è pari al 14,4% (rispetto al 2013), ma varia da un minimo del -33,5%</w:t>
      </w:r>
      <w:r w:rsidR="00DB5ABE">
        <w:rPr>
          <w:rFonts w:asciiTheme="minorHAnsi" w:eastAsia="DIN-Bold" w:hAnsiTheme="minorHAnsi" w:cstheme="minorHAnsi"/>
          <w:bCs/>
        </w:rPr>
        <w:t>, rispetto al 2013,</w:t>
      </w:r>
      <w:r w:rsidRPr="00C20EBB">
        <w:rPr>
          <w:rFonts w:asciiTheme="minorHAnsi" w:eastAsia="DIN-Bold" w:hAnsiTheme="minorHAnsi" w:cstheme="minorHAnsi"/>
          <w:bCs/>
        </w:rPr>
        <w:t xml:space="preserve"> nel caso delle dipendenze </w:t>
      </w:r>
      <w:r w:rsidRPr="00C20EBB">
        <w:t>da alcol e droga</w:t>
      </w:r>
      <w:r w:rsidRPr="00C20EBB">
        <w:rPr>
          <w:rFonts w:asciiTheme="minorHAnsi" w:eastAsia="DIN-Bold" w:hAnsiTheme="minorHAnsi" w:cstheme="minorHAnsi"/>
          <w:bCs/>
        </w:rPr>
        <w:t>, fino ad un massimo di circa il +95% per la povertà ed il disagio di adulti e senza dimora</w:t>
      </w:r>
      <w:r>
        <w:rPr>
          <w:rFonts w:asciiTheme="minorHAnsi" w:eastAsia="DIN-Bold" w:hAnsiTheme="minorHAnsi" w:cstheme="minorHAnsi"/>
          <w:bCs/>
        </w:rPr>
        <w:t>, Si rileva, invece</w:t>
      </w:r>
      <w:r w:rsidRPr="00C20EBB">
        <w:rPr>
          <w:rFonts w:asciiTheme="minorHAnsi" w:eastAsia="DIN-Bold" w:hAnsiTheme="minorHAnsi" w:cstheme="minorHAnsi"/>
          <w:bCs/>
        </w:rPr>
        <w:t xml:space="preserve">, un preoccupante decremento della </w:t>
      </w:r>
      <w:r>
        <w:rPr>
          <w:rFonts w:asciiTheme="minorHAnsi" w:eastAsia="DIN-Bold" w:hAnsiTheme="minorHAnsi" w:cstheme="minorHAnsi"/>
          <w:bCs/>
        </w:rPr>
        <w:t xml:space="preserve">spesa per anziani pari al -7,1%, </w:t>
      </w:r>
      <w:r w:rsidRPr="00C20EBB">
        <w:rPr>
          <w:rFonts w:asciiTheme="minorHAnsi" w:eastAsia="DIN-Bold" w:hAnsiTheme="minorHAnsi" w:cstheme="minorHAnsi"/>
          <w:bCs/>
        </w:rPr>
        <w:t>un dato in controtendenza con il progressivo invecchiamento della popolazione in Italia.</w:t>
      </w:r>
    </w:p>
    <w:p w:rsidR="00167E77" w:rsidRDefault="00167E77" w:rsidP="00C20EBB">
      <w:pPr>
        <w:pStyle w:val="Paragrafoelenco"/>
        <w:spacing w:line="276" w:lineRule="auto"/>
        <w:ind w:left="0"/>
        <w:jc w:val="both"/>
        <w:rPr>
          <w:rFonts w:asciiTheme="minorHAnsi" w:eastAsia="DIN-Bold" w:hAnsiTheme="minorHAnsi" w:cstheme="minorHAnsi"/>
          <w:bCs/>
        </w:rPr>
      </w:pPr>
      <w:r>
        <w:rPr>
          <w:rFonts w:asciiTheme="minorHAnsi" w:eastAsia="DIN-Bold" w:hAnsiTheme="minorHAnsi" w:cstheme="minorHAnsi"/>
          <w:bCs/>
        </w:rPr>
        <w:t xml:space="preserve">La </w:t>
      </w:r>
      <w:r w:rsidR="00DB5ABE">
        <w:rPr>
          <w:rFonts w:asciiTheme="minorHAnsi" w:eastAsia="DIN-Bold" w:hAnsiTheme="minorHAnsi" w:cstheme="minorHAnsi"/>
          <w:bCs/>
        </w:rPr>
        <w:t>fetta più importante della spesa è</w:t>
      </w:r>
      <w:r>
        <w:rPr>
          <w:rFonts w:asciiTheme="minorHAnsi" w:eastAsia="DIN-Bold" w:hAnsiTheme="minorHAnsi" w:cstheme="minorHAnsi"/>
          <w:bCs/>
        </w:rPr>
        <w:t xml:space="preserve"> assorbita da famiglia e </w:t>
      </w:r>
      <w:r w:rsidR="00DB5ABE">
        <w:rPr>
          <w:rFonts w:asciiTheme="minorHAnsi" w:eastAsia="DIN-Bold" w:hAnsiTheme="minorHAnsi" w:cstheme="minorHAnsi"/>
          <w:bCs/>
        </w:rPr>
        <w:t>minori, seguita dalla disabilità</w:t>
      </w:r>
      <w:r>
        <w:rPr>
          <w:rFonts w:asciiTheme="minorHAnsi" w:eastAsia="DIN-Bold" w:hAnsiTheme="minorHAnsi" w:cstheme="minorHAnsi"/>
          <w:bCs/>
        </w:rPr>
        <w:t>.</w:t>
      </w:r>
    </w:p>
    <w:p w:rsidR="00926A1E" w:rsidRDefault="00926A1E">
      <w:pPr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:rsidR="00167E77" w:rsidRDefault="00167E77" w:rsidP="00167E77">
      <w:pPr>
        <w:spacing w:line="276" w:lineRule="auto"/>
        <w:jc w:val="both"/>
        <w:rPr>
          <w:rFonts w:eastAsia="Times New Roman" w:cstheme="minorHAnsi"/>
          <w:b/>
          <w:bCs/>
        </w:rPr>
      </w:pPr>
      <w:r>
        <w:rPr>
          <w:noProof/>
          <w:lang w:eastAsia="it-IT"/>
        </w:rPr>
        <w:drawing>
          <wp:inline distT="0" distB="0" distL="0" distR="0" wp14:anchorId="4DD8E861" wp14:editId="1557B0C6">
            <wp:extent cx="4997450" cy="3030855"/>
            <wp:effectExtent l="0" t="0" r="0" b="0"/>
            <wp:docPr id="1853053171" name="Grafico 1853053171">
              <a:extLst xmlns:a="http://schemas.openxmlformats.org/drawingml/2006/main">
                <a:ext uri="{FF2B5EF4-FFF2-40B4-BE49-F238E27FC236}">
                  <a16:creationId xmlns:a16="http://schemas.microsoft.com/office/drawing/2014/main" id="{45AE2019-AC98-4F60-99F2-DB1354C53C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C5EE2" w:rsidRDefault="00DC41E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Il dato preoccupa</w:t>
      </w:r>
      <w:r w:rsidR="005D00E4">
        <w:rPr>
          <w:rFonts w:ascii="Tahoma" w:hAnsi="Tahoma" w:cs="Tahoma"/>
          <w:sz w:val="24"/>
          <w:szCs w:val="24"/>
        </w:rPr>
        <w:t>nte riguarda la grande disequità</w:t>
      </w:r>
      <w:r w:rsidR="00F304E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degli interventi nelle aree che maggiormente incidono sull’assistenza, per le quali la Missione 5 del Pnrr ha previsto due ri</w:t>
      </w:r>
      <w:r w:rsidR="00C351B9">
        <w:rPr>
          <w:rFonts w:ascii="Tahoma" w:hAnsi="Tahoma" w:cs="Tahoma"/>
          <w:sz w:val="24"/>
          <w:szCs w:val="24"/>
        </w:rPr>
        <w:t>forme</w:t>
      </w:r>
      <w:r w:rsidR="00F304E9">
        <w:rPr>
          <w:rFonts w:ascii="Tahoma" w:hAnsi="Tahoma" w:cs="Tahoma"/>
          <w:sz w:val="24"/>
          <w:szCs w:val="24"/>
        </w:rPr>
        <w:t xml:space="preserve"> strutturali: la disabilità</w:t>
      </w:r>
      <w:r>
        <w:rPr>
          <w:rFonts w:ascii="Tahoma" w:hAnsi="Tahoma" w:cs="Tahoma"/>
          <w:sz w:val="24"/>
          <w:szCs w:val="24"/>
        </w:rPr>
        <w:t xml:space="preserve"> </w:t>
      </w:r>
      <w:r w:rsidR="00F304E9">
        <w:rPr>
          <w:rFonts w:ascii="Tahoma" w:hAnsi="Tahoma" w:cs="Tahoma"/>
          <w:sz w:val="24"/>
          <w:szCs w:val="24"/>
        </w:rPr>
        <w:t>( emanati due nuovi decreti legislativi, ma il fondo in legge di bilancio potrebbe essere ridotto di 400 ml rispetto a quello dello scorso anno) e</w:t>
      </w:r>
      <w:r>
        <w:rPr>
          <w:rFonts w:ascii="Tahoma" w:hAnsi="Tahoma" w:cs="Tahoma"/>
          <w:sz w:val="24"/>
          <w:szCs w:val="24"/>
        </w:rPr>
        <w:t xml:space="preserve"> la non autosuff</w:t>
      </w:r>
      <w:r w:rsidR="00F304E9"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cienza ( realizzata con la legge 33 del 2023, per la quale si attendono a gennaio i decreti attuativi, sforniti, tuttavia, di finanziamenti dedicati)</w:t>
      </w:r>
      <w:r w:rsidR="00F304E9">
        <w:rPr>
          <w:rFonts w:ascii="Tahoma" w:hAnsi="Tahoma" w:cs="Tahoma"/>
          <w:sz w:val="24"/>
          <w:szCs w:val="24"/>
        </w:rPr>
        <w:t>.</w:t>
      </w:r>
    </w:p>
    <w:p w:rsidR="00F304E9" w:rsidRDefault="00F304E9" w:rsidP="00F304E9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Figura 7.b La spesa dei comuni per i servizi sociali (euro pro capite) destinati all'area di utenza "disabili", per regione, 2020</w:t>
      </w:r>
    </w:p>
    <w:p w:rsidR="00F304E9" w:rsidRDefault="00F304E9" w:rsidP="00F304E9">
      <w:pPr>
        <w:pStyle w:val="Testocommento"/>
        <w:spacing w:line="276" w:lineRule="auto"/>
        <w:rPr>
          <w:rFonts w:asciiTheme="minorHAnsi" w:eastAsia="Times New Roman" w:hAnsiTheme="minorHAnsi" w:cstheme="minorHAnsi"/>
          <w:color w:val="FF0000"/>
        </w:rPr>
      </w:pPr>
      <w:r>
        <w:rPr>
          <w:noProof/>
        </w:rPr>
        <w:drawing>
          <wp:inline distT="0" distB="0" distL="0" distR="0" wp14:anchorId="31CF940B" wp14:editId="036F3574">
            <wp:extent cx="6113145" cy="4057015"/>
            <wp:effectExtent l="0" t="0" r="1905" b="635"/>
            <wp:docPr id="1695861667" name="Grafico 1695861667">
              <a:extLst xmlns:a="http://schemas.openxmlformats.org/drawingml/2006/main">
                <a:ext uri="{FF2B5EF4-FFF2-40B4-BE49-F238E27FC236}">
                  <a16:creationId xmlns:a16="http://schemas.microsoft.com/office/drawing/2014/main" id="{0FA0956E-B552-4EA1-B89B-FB0293C89B2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04E9" w:rsidRDefault="00F304E9" w:rsidP="00F304E9">
      <w:pPr>
        <w:pStyle w:val="Testocommento"/>
        <w:spacing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Fonte: elaborazioni IFEL-Ufficio Analisi ed Elaborazione Dati Economia Territoriale su dati Istat, 2023</w:t>
      </w:r>
    </w:p>
    <w:p w:rsidR="00F304E9" w:rsidRDefault="00F304E9" w:rsidP="00F304E9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Figura 7.c La spesa dei comuni per i servizi sociali (euro pro capite) destinati all'area di utenza "anziani (65 anni e più)", per regione, 2020</w:t>
      </w:r>
    </w:p>
    <w:p w:rsidR="00F304E9" w:rsidRDefault="00F304E9" w:rsidP="00F304E9">
      <w:pPr>
        <w:rPr>
          <w:rFonts w:eastAsia="Times New Roman"/>
          <w:b/>
          <w:bCs/>
        </w:rPr>
      </w:pPr>
      <w:r>
        <w:rPr>
          <w:noProof/>
          <w:lang w:eastAsia="it-IT"/>
        </w:rPr>
        <w:drawing>
          <wp:inline distT="0" distB="0" distL="0" distR="0" wp14:anchorId="2C1EA407" wp14:editId="2E877091">
            <wp:extent cx="6227445" cy="6571615"/>
            <wp:effectExtent l="0" t="0" r="1905" b="635"/>
            <wp:docPr id="787453893" name="Grafico 787453893">
              <a:extLst xmlns:a="http://schemas.openxmlformats.org/drawingml/2006/main">
                <a:ext uri="{FF2B5EF4-FFF2-40B4-BE49-F238E27FC236}">
                  <a16:creationId xmlns:a16="http://schemas.microsoft.com/office/drawing/2014/main" id="{555C375E-E42A-4874-BA05-69819B313D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304E9" w:rsidRDefault="00F304E9" w:rsidP="00F304E9">
      <w:pPr>
        <w:pStyle w:val="Testocommento"/>
        <w:spacing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Fonte: elaborazioni IFEL-Ufficio Analisi ed Elaborazione Dati Economia Territoriale su dati Istat, 2023</w:t>
      </w:r>
    </w:p>
    <w:p w:rsidR="00F304E9" w:rsidRDefault="0027681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Altro dato interessante riguarda l’ente gestore delle spese sociali, che vede impegnate (su delega) le aziende sanitarie per una percentuale bassissima (1%), che non consente, ad esempio, di realizzare sinergie su economie </w:t>
      </w:r>
      <w:r w:rsidR="003A2945">
        <w:rPr>
          <w:rFonts w:ascii="Tahoma" w:hAnsi="Tahoma" w:cs="Tahoma"/>
          <w:sz w:val="24"/>
          <w:szCs w:val="24"/>
        </w:rPr>
        <w:t>di scala (</w:t>
      </w:r>
      <w:r>
        <w:rPr>
          <w:rFonts w:ascii="Tahoma" w:hAnsi="Tahoma" w:cs="Tahoma"/>
          <w:sz w:val="24"/>
          <w:szCs w:val="24"/>
        </w:rPr>
        <w:t>si pensi all’assi</w:t>
      </w:r>
      <w:r w:rsidR="00EF7BC8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tenza domiciliare, dove si potrebbero progettare cumula</w:t>
      </w:r>
      <w:r w:rsidR="00CB730E">
        <w:rPr>
          <w:rFonts w:ascii="Tahoma" w:hAnsi="Tahoma" w:cs="Tahoma"/>
          <w:sz w:val="24"/>
          <w:szCs w:val="24"/>
        </w:rPr>
        <w:t xml:space="preserve">tivamente interventi sociali e </w:t>
      </w:r>
      <w:r w:rsidR="00EF7BC8">
        <w:rPr>
          <w:rFonts w:ascii="Tahoma" w:hAnsi="Tahoma" w:cs="Tahoma"/>
          <w:sz w:val="24"/>
          <w:szCs w:val="24"/>
        </w:rPr>
        <w:t>sanitari).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3"/>
        <w:gridCol w:w="1588"/>
        <w:gridCol w:w="1589"/>
        <w:gridCol w:w="1589"/>
        <w:gridCol w:w="1589"/>
      </w:tblGrid>
      <w:tr w:rsidR="00CB730E" w:rsidTr="00587C9E">
        <w:trPr>
          <w:trHeight w:val="288"/>
        </w:trPr>
        <w:tc>
          <w:tcPr>
            <w:tcW w:w="17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B730E" w:rsidRDefault="00CB730E" w:rsidP="00A3683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Ente gestore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CB730E" w:rsidRDefault="00CB730E" w:rsidP="00A3683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Nord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CB730E" w:rsidRDefault="00CB730E" w:rsidP="00A3683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Centro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CB730E" w:rsidRDefault="00CB730E" w:rsidP="00A3683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Mezzogiorno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CB730E" w:rsidRDefault="00CB730E" w:rsidP="00A3683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Italia</w:t>
            </w:r>
          </w:p>
        </w:tc>
      </w:tr>
      <w:tr w:rsidR="00CB730E" w:rsidTr="00587C9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0E" w:rsidRDefault="00CB730E" w:rsidP="00A3683C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3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CB730E" w:rsidRDefault="00CB730E" w:rsidP="00A3683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% di colonna</w:t>
            </w:r>
          </w:p>
        </w:tc>
      </w:tr>
      <w:tr w:rsidR="00CB730E" w:rsidTr="00587C9E">
        <w:trPr>
          <w:trHeight w:val="288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30E" w:rsidRDefault="00CB730E" w:rsidP="00A368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Comune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30E" w:rsidRDefault="00CB730E" w:rsidP="00A3683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62,4%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30E" w:rsidRDefault="00CB730E" w:rsidP="00A3683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78,4%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30E" w:rsidRDefault="00CB730E" w:rsidP="00A3683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73,5%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30E" w:rsidRDefault="00CB730E" w:rsidP="00A3683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68,2%</w:t>
            </w:r>
          </w:p>
        </w:tc>
      </w:tr>
      <w:tr w:rsidR="00CB730E" w:rsidTr="00587C9E">
        <w:trPr>
          <w:trHeight w:val="288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30E" w:rsidRDefault="00CB730E" w:rsidP="00A368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Distretto / Ambito / Zona sociale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30E" w:rsidRDefault="00CB730E" w:rsidP="00A3683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11,8%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30E" w:rsidRDefault="00CB730E" w:rsidP="00A3683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6,4%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30E" w:rsidRDefault="00CB730E" w:rsidP="00A3683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25,7%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30E" w:rsidRDefault="00CB730E" w:rsidP="00A3683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13,8%</w:t>
            </w:r>
          </w:p>
        </w:tc>
      </w:tr>
      <w:tr w:rsidR="00CB730E" w:rsidTr="00587C9E">
        <w:trPr>
          <w:trHeight w:val="288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30E" w:rsidRDefault="00CB730E" w:rsidP="00A368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Comunità montana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30E" w:rsidRDefault="00CB730E" w:rsidP="00A3683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0,2%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30E" w:rsidRDefault="00CB730E" w:rsidP="00A3683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0,6%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30E" w:rsidRDefault="00CB730E" w:rsidP="00A3683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0,0%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30E" w:rsidRDefault="00CB730E" w:rsidP="00A3683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0,2%</w:t>
            </w:r>
          </w:p>
        </w:tc>
      </w:tr>
      <w:tr w:rsidR="00CB730E" w:rsidTr="00587C9E">
        <w:trPr>
          <w:trHeight w:val="288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30E" w:rsidRDefault="00CB730E" w:rsidP="00A368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Consorzio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30E" w:rsidRDefault="00CB730E" w:rsidP="00A3683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10,1%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30E" w:rsidRDefault="00CB730E" w:rsidP="00A3683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10,8%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30E" w:rsidRDefault="00CB730E" w:rsidP="00A3683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0,6%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30E" w:rsidRDefault="00CB730E" w:rsidP="00A3683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8,1%</w:t>
            </w:r>
          </w:p>
        </w:tc>
      </w:tr>
      <w:tr w:rsidR="00CB730E" w:rsidTr="00587C9E">
        <w:trPr>
          <w:trHeight w:val="288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30E" w:rsidRDefault="00CB730E" w:rsidP="00A368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Azienda sanitaria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30E" w:rsidRDefault="00CB730E" w:rsidP="00A3683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1,3%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30E" w:rsidRDefault="00CB730E" w:rsidP="00A3683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1,2%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30E" w:rsidRDefault="00CB730E" w:rsidP="00A3683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0,0%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30E" w:rsidRDefault="00CB730E" w:rsidP="00A3683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1,0%</w:t>
            </w:r>
          </w:p>
        </w:tc>
      </w:tr>
      <w:tr w:rsidR="00CB730E" w:rsidTr="00587C9E">
        <w:trPr>
          <w:trHeight w:val="288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30E" w:rsidRDefault="00CB730E" w:rsidP="00A368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Unione di comuni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30E" w:rsidRDefault="00CB730E" w:rsidP="00A3683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5,1%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30E" w:rsidRDefault="00CB730E" w:rsidP="00A3683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1,5%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30E" w:rsidRDefault="00CB730E" w:rsidP="00A3683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0,2%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30E" w:rsidRDefault="00CB730E" w:rsidP="00A3683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3,2%</w:t>
            </w:r>
          </w:p>
        </w:tc>
      </w:tr>
      <w:tr w:rsidR="00CB730E" w:rsidTr="00587C9E">
        <w:trPr>
          <w:trHeight w:val="288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30E" w:rsidRDefault="00CB730E" w:rsidP="00A368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Altra associazione di comuni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30E" w:rsidRDefault="00CB730E" w:rsidP="00A3683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9,1%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30E" w:rsidRDefault="00CB730E" w:rsidP="00A3683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1,1%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30E" w:rsidRDefault="00CB730E" w:rsidP="00A3683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0,0%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30E" w:rsidRDefault="00CB730E" w:rsidP="00A3683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5,4%</w:t>
            </w:r>
          </w:p>
        </w:tc>
      </w:tr>
      <w:tr w:rsidR="00CB730E" w:rsidTr="00587C9E">
        <w:trPr>
          <w:trHeight w:val="288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30E" w:rsidRDefault="00CB730E" w:rsidP="00A3683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Totale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30E" w:rsidRDefault="00CB730E" w:rsidP="00A3683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100,0%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30E" w:rsidRDefault="00CB730E" w:rsidP="00A3683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100,0%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30E" w:rsidRDefault="00CB730E" w:rsidP="00A3683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100,0%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30E" w:rsidRDefault="00CB730E" w:rsidP="00A3683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100,0%</w:t>
            </w:r>
          </w:p>
        </w:tc>
      </w:tr>
      <w:tr w:rsidR="00CB730E" w:rsidTr="00A3683C">
        <w:trPr>
          <w:trHeight w:val="288"/>
        </w:trPr>
        <w:tc>
          <w:tcPr>
            <w:tcW w:w="5000" w:type="pct"/>
            <w:gridSpan w:val="5"/>
            <w:noWrap/>
            <w:hideMark/>
          </w:tcPr>
          <w:p w:rsidR="00CB730E" w:rsidRDefault="00CB730E" w:rsidP="00A3683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Fonte: elaborazioni IFEL-Ufficio Analisi ed Elaborazione Dati Economia Territoriale su dati Istat, 2023</w:t>
            </w:r>
          </w:p>
        </w:tc>
      </w:tr>
    </w:tbl>
    <w:p w:rsidR="00587C9E" w:rsidRPr="00C351B9" w:rsidRDefault="00587C9E" w:rsidP="00587C9E">
      <w:pPr>
        <w:jc w:val="both"/>
        <w:rPr>
          <w:rFonts w:ascii="Tahoma" w:eastAsia="Times New Roman" w:hAnsi="Tahoma" w:cs="Tahoma"/>
        </w:rPr>
      </w:pPr>
      <w:r w:rsidRPr="00C351B9">
        <w:rPr>
          <w:rFonts w:ascii="Tahoma" w:eastAsia="Times New Roman" w:hAnsi="Tahoma" w:cs="Tahoma"/>
        </w:rPr>
        <w:t xml:space="preserve">Analizzando la distribuzione delle spese sociali per aree di utenza tra le diverse tipologie di enti gestori, </w:t>
      </w:r>
      <w:r w:rsidR="00C351B9">
        <w:rPr>
          <w:rFonts w:ascii="Tahoma" w:eastAsia="Times New Roman" w:hAnsi="Tahoma" w:cs="Tahoma"/>
        </w:rPr>
        <w:t xml:space="preserve">appare rilevante </w:t>
      </w:r>
      <w:r w:rsidRPr="00C351B9">
        <w:rPr>
          <w:rFonts w:ascii="Tahoma" w:eastAsia="Times New Roman" w:hAnsi="Tahoma" w:cs="Tahoma"/>
        </w:rPr>
        <w:t xml:space="preserve">quello dei </w:t>
      </w:r>
      <w:r w:rsidRPr="005F129D">
        <w:rPr>
          <w:rFonts w:ascii="Tahoma" w:eastAsia="Times New Roman" w:hAnsi="Tahoma" w:cs="Tahoma"/>
          <w:b/>
        </w:rPr>
        <w:t>distretti/ambiti/zone social</w:t>
      </w:r>
      <w:r w:rsidR="00C351B9" w:rsidRPr="005F129D">
        <w:rPr>
          <w:rFonts w:ascii="Tahoma" w:eastAsia="Times New Roman" w:hAnsi="Tahoma" w:cs="Tahoma"/>
          <w:b/>
        </w:rPr>
        <w:t>i</w:t>
      </w:r>
      <w:r w:rsidR="00C351B9">
        <w:rPr>
          <w:rFonts w:ascii="Tahoma" w:eastAsia="Times New Roman" w:hAnsi="Tahoma" w:cs="Tahoma"/>
        </w:rPr>
        <w:t xml:space="preserve"> per l’area disabili (19,6%), </w:t>
      </w:r>
      <w:r w:rsidRPr="00C351B9">
        <w:rPr>
          <w:rFonts w:ascii="Tahoma" w:eastAsia="Times New Roman" w:hAnsi="Tahoma" w:cs="Tahoma"/>
        </w:rPr>
        <w:t>le dipendenze (1</w:t>
      </w:r>
      <w:r w:rsidR="00C351B9">
        <w:rPr>
          <w:rFonts w:ascii="Tahoma" w:eastAsia="Times New Roman" w:hAnsi="Tahoma" w:cs="Tahoma"/>
        </w:rPr>
        <w:t>6,4%) e gli anziani (14,8</w:t>
      </w:r>
      <w:r w:rsidRPr="00C351B9">
        <w:rPr>
          <w:rFonts w:ascii="Tahoma" w:eastAsia="Times New Roman" w:hAnsi="Tahoma" w:cs="Tahoma"/>
        </w:rPr>
        <w:t>%).</w:t>
      </w:r>
    </w:p>
    <w:p w:rsidR="00587C9E" w:rsidRDefault="00587C9E" w:rsidP="00587C9E">
      <w:pPr>
        <w:jc w:val="both"/>
        <w:rPr>
          <w:rFonts w:eastAsia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3"/>
        <w:gridCol w:w="978"/>
        <w:gridCol w:w="1065"/>
        <w:gridCol w:w="914"/>
        <w:gridCol w:w="920"/>
        <w:gridCol w:w="832"/>
        <w:gridCol w:w="732"/>
        <w:gridCol w:w="1137"/>
        <w:gridCol w:w="717"/>
      </w:tblGrid>
      <w:tr w:rsidR="00587C9E" w:rsidTr="00A3683C">
        <w:trPr>
          <w:trHeight w:val="312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87C9E" w:rsidRDefault="00587C9E" w:rsidP="00A3683C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Tabella 4 Composizione percentuale della spesa dei comuni per i servizi sociali, per tipologia di ente gestore e area di utenza, 2020</w:t>
            </w:r>
          </w:p>
        </w:tc>
      </w:tr>
      <w:tr w:rsidR="00587C9E" w:rsidTr="00A3683C">
        <w:trPr>
          <w:trHeight w:val="816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87C9E" w:rsidRDefault="00587C9E" w:rsidP="00A368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Area di utenza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87C9E" w:rsidRDefault="00587C9E" w:rsidP="00A368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Comune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87C9E" w:rsidRDefault="00587C9E" w:rsidP="00A368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Distretto / Ambito / Zona sociale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87C9E" w:rsidRDefault="00587C9E" w:rsidP="00A368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Comunità montana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87C9E" w:rsidRDefault="00587C9E" w:rsidP="00A368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Consorzio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87C9E" w:rsidRDefault="00587C9E" w:rsidP="00A368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Azienda sanitaria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87C9E" w:rsidRDefault="00587C9E" w:rsidP="00A368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Unione di comuni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87C9E" w:rsidRDefault="00587C9E" w:rsidP="00A368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Altra associazione di comuni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87C9E" w:rsidRDefault="00587C9E" w:rsidP="00A368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Totale</w:t>
            </w:r>
          </w:p>
        </w:tc>
      </w:tr>
      <w:tr w:rsidR="00587C9E" w:rsidTr="00A3683C">
        <w:trPr>
          <w:trHeight w:val="261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Famiglie e minori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77,6%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9,7%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0,1%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5,4%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0,5%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3,0%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3,7%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100,0%</w:t>
            </w:r>
          </w:p>
        </w:tc>
      </w:tr>
      <w:tr w:rsidR="00587C9E" w:rsidTr="00A3683C">
        <w:trPr>
          <w:trHeight w:val="261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Disabili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60,1%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19,6%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0,4%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9,9%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2,7%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2,6%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4,7%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100,0%</w:t>
            </w:r>
          </w:p>
        </w:tc>
      </w:tr>
      <w:tr w:rsidR="00587C9E" w:rsidTr="00A3683C">
        <w:trPr>
          <w:trHeight w:val="261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Dipendenze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63,9%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16,4%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0,4%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3,0%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0,9%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3,2%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12,2%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100,0%</w:t>
            </w:r>
          </w:p>
        </w:tc>
      </w:tr>
      <w:tr w:rsidR="00587C9E" w:rsidTr="00A3683C">
        <w:trPr>
          <w:trHeight w:val="261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Anziani (65 anni e più)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53,7%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14,8%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0,2%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11,6%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0,6%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4,6%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14,5%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100,0%</w:t>
            </w:r>
          </w:p>
        </w:tc>
      </w:tr>
      <w:tr w:rsidR="00587C9E" w:rsidTr="00A3683C">
        <w:trPr>
          <w:trHeight w:val="261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Immigrati, Rom, Sinti e Caminanti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80,6%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8,2%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0,4%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7,1%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0,0%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2,8%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0,9%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100,0%</w:t>
            </w:r>
          </w:p>
        </w:tc>
      </w:tr>
      <w:tr w:rsidR="00587C9E" w:rsidTr="00A3683C">
        <w:trPr>
          <w:trHeight w:val="261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Povertà, disagio adulti e senza dimora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76,6%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11,3%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0,2%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6,4%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0,2%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2,7%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2,6%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100,0%</w:t>
            </w:r>
          </w:p>
        </w:tc>
      </w:tr>
      <w:tr w:rsidR="00587C9E" w:rsidTr="00A3683C">
        <w:trPr>
          <w:trHeight w:val="261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Multiutenza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56,3%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21,5%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0,5%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13,4%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0,3%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5,1%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2,9%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7C9E" w:rsidRDefault="00587C9E" w:rsidP="00A3683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100,0%</w:t>
            </w:r>
          </w:p>
        </w:tc>
      </w:tr>
      <w:tr w:rsidR="00587C9E" w:rsidTr="00A3683C">
        <w:trPr>
          <w:trHeight w:val="261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Totale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68,3%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13,8%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0,2%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8,1%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1,0%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C9E" w:rsidRDefault="00587C9E" w:rsidP="00A3683C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3,2%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7C9E" w:rsidRDefault="00587C9E" w:rsidP="00A3683C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5,4%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7C9E" w:rsidRDefault="00587C9E" w:rsidP="00A3683C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100,0%</w:t>
            </w:r>
          </w:p>
        </w:tc>
      </w:tr>
      <w:tr w:rsidR="00587C9E" w:rsidRPr="00587C9E" w:rsidTr="00A3683C">
        <w:trPr>
          <w:trHeight w:val="261"/>
        </w:trPr>
        <w:tc>
          <w:tcPr>
            <w:tcW w:w="5000" w:type="pct"/>
            <w:gridSpan w:val="9"/>
            <w:hideMark/>
          </w:tcPr>
          <w:p w:rsidR="00587C9E" w:rsidRPr="00587C9E" w:rsidRDefault="00587C9E" w:rsidP="00A3683C">
            <w:pPr>
              <w:rPr>
                <w:rFonts w:ascii="Tahoma" w:eastAsia="Times New Roman" w:hAnsi="Tahoma" w:cs="Tahoma"/>
              </w:rPr>
            </w:pPr>
            <w:r w:rsidRPr="00587C9E">
              <w:rPr>
                <w:rFonts w:ascii="Tahoma" w:eastAsia="Times New Roman" w:hAnsi="Tahoma" w:cs="Tahoma"/>
              </w:rPr>
              <w:t>Fonte: Istat, 2023</w:t>
            </w:r>
          </w:p>
          <w:p w:rsidR="00587C9E" w:rsidRDefault="00587C9E" w:rsidP="00A3683C">
            <w:pPr>
              <w:rPr>
                <w:rFonts w:ascii="Tahoma" w:eastAsia="Times New Roman" w:hAnsi="Tahoma" w:cs="Tahoma"/>
              </w:rPr>
            </w:pPr>
            <w:r w:rsidRPr="00587C9E">
              <w:rPr>
                <w:rFonts w:ascii="Tahoma" w:eastAsia="Times New Roman" w:hAnsi="Tahoma" w:cs="Tahoma"/>
              </w:rPr>
              <w:t xml:space="preserve">A maggior ragione appare indispensabile una coincidenza tra Ambiti/zona sociale e distretti </w:t>
            </w:r>
            <w:r w:rsidR="00541BDD">
              <w:rPr>
                <w:rFonts w:ascii="Tahoma" w:eastAsia="Times New Roman" w:hAnsi="Tahoma" w:cs="Tahoma"/>
              </w:rPr>
              <w:t>socio</w:t>
            </w:r>
            <w:r w:rsidRPr="00587C9E">
              <w:rPr>
                <w:rFonts w:ascii="Tahoma" w:eastAsia="Times New Roman" w:hAnsi="Tahoma" w:cs="Tahoma"/>
              </w:rPr>
              <w:t>sanitari</w:t>
            </w:r>
            <w:r w:rsidR="00541BDD">
              <w:rPr>
                <w:rFonts w:ascii="Tahoma" w:eastAsia="Times New Roman" w:hAnsi="Tahoma" w:cs="Tahoma"/>
              </w:rPr>
              <w:t xml:space="preserve"> delle Asl</w:t>
            </w:r>
            <w:r w:rsidRPr="00587C9E">
              <w:rPr>
                <w:rFonts w:ascii="Tahoma" w:eastAsia="Times New Roman" w:hAnsi="Tahoma" w:cs="Tahoma"/>
              </w:rPr>
              <w:t>, per programmare insieme politiche di presa in carico dei soggetti fragili dal punto di vista sanitario e sociale.</w:t>
            </w:r>
            <w:r w:rsidR="00D8133A">
              <w:rPr>
                <w:rFonts w:ascii="Tahoma" w:eastAsia="Times New Roman" w:hAnsi="Tahoma" w:cs="Tahoma"/>
              </w:rPr>
              <w:t xml:space="preserve"> Il rapporto cita ottimi esempi di presa in carico integrata, soprattutto in aree interne che costituiscono esempi da replicare (Asl 3 di Genova per area interna Valtrebbia, Azienda Usl Toscana Nord Ovest per i comuni della Garfagnana, Media Valle del Serchio, Alta Versilia, Asl Rieti</w:t>
            </w:r>
            <w:r w:rsidR="00C95355">
              <w:rPr>
                <w:rFonts w:ascii="Tahoma" w:eastAsia="Times New Roman" w:hAnsi="Tahoma" w:cs="Tahoma"/>
              </w:rPr>
              <w:t xml:space="preserve"> </w:t>
            </w:r>
            <w:r w:rsidR="00D8133A">
              <w:rPr>
                <w:rFonts w:ascii="Tahoma" w:eastAsia="Times New Roman" w:hAnsi="Tahoma" w:cs="Tahoma"/>
              </w:rPr>
              <w:t>)</w:t>
            </w:r>
          </w:p>
          <w:p w:rsidR="0071672E" w:rsidRDefault="00827000" w:rsidP="00A3683C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Per quanto concerne </w:t>
            </w:r>
            <w:r w:rsidRPr="005F129D">
              <w:rPr>
                <w:rFonts w:ascii="Tahoma" w:eastAsia="Times New Roman" w:hAnsi="Tahoma" w:cs="Tahoma"/>
                <w:b/>
              </w:rPr>
              <w:t>l’assistenza domiciliare</w:t>
            </w:r>
            <w:r>
              <w:rPr>
                <w:rFonts w:ascii="Tahoma" w:eastAsia="Times New Roman" w:hAnsi="Tahoma" w:cs="Tahoma"/>
              </w:rPr>
              <w:t>,</w:t>
            </w:r>
            <w:r w:rsidR="0071672E">
              <w:rPr>
                <w:rFonts w:ascii="Tahoma" w:eastAsia="Times New Roman" w:hAnsi="Tahoma" w:cs="Tahoma"/>
              </w:rPr>
              <w:t xml:space="preserve"> la quota di</w:t>
            </w:r>
            <w:r>
              <w:rPr>
                <w:rFonts w:ascii="Tahoma" w:eastAsia="Times New Roman" w:hAnsi="Tahoma" w:cs="Tahoma"/>
              </w:rPr>
              <w:t xml:space="preserve"> spese sociali dei comuni impiegata per </w:t>
            </w:r>
            <w:r w:rsidR="0071672E">
              <w:rPr>
                <w:rFonts w:ascii="Tahoma" w:eastAsia="Times New Roman" w:hAnsi="Tahoma" w:cs="Tahoma"/>
              </w:rPr>
              <w:t>assi</w:t>
            </w:r>
            <w:r>
              <w:rPr>
                <w:rFonts w:ascii="Tahoma" w:eastAsia="Times New Roman" w:hAnsi="Tahoma" w:cs="Tahoma"/>
              </w:rPr>
              <w:t>s</w:t>
            </w:r>
            <w:r w:rsidR="0071672E">
              <w:rPr>
                <w:rFonts w:ascii="Tahoma" w:eastAsia="Times New Roman" w:hAnsi="Tahoma" w:cs="Tahoma"/>
              </w:rPr>
              <w:t>tenza domicilia</w:t>
            </w:r>
            <w:r>
              <w:rPr>
                <w:rFonts w:ascii="Tahoma" w:eastAsia="Times New Roman" w:hAnsi="Tahoma" w:cs="Tahoma"/>
              </w:rPr>
              <w:t xml:space="preserve">re </w:t>
            </w:r>
            <w:r w:rsidR="003903A3">
              <w:rPr>
                <w:rFonts w:ascii="Tahoma" w:eastAsia="Times New Roman" w:hAnsi="Tahoma" w:cs="Tahoma"/>
              </w:rPr>
              <w:t xml:space="preserve">socio-assitenziale rispetto al altre modalita’ di assistenza ai non autosufficienti e’ pari al 60% ( in alcune regioni si utilizza di piu’ il voucer, assegno di cura, buono socio sanitario) </w:t>
            </w:r>
            <w:r>
              <w:rPr>
                <w:rFonts w:ascii="Tahoma" w:eastAsia="Times New Roman" w:hAnsi="Tahoma" w:cs="Tahoma"/>
              </w:rPr>
              <w:t xml:space="preserve">e quella per </w:t>
            </w:r>
            <w:r w:rsidRPr="005F129D">
              <w:rPr>
                <w:rFonts w:ascii="Tahoma" w:eastAsia="Times New Roman" w:hAnsi="Tahoma" w:cs="Tahoma"/>
                <w:b/>
              </w:rPr>
              <w:t>assi</w:t>
            </w:r>
            <w:r w:rsidR="005F129D" w:rsidRPr="005F129D">
              <w:rPr>
                <w:rFonts w:ascii="Tahoma" w:eastAsia="Times New Roman" w:hAnsi="Tahoma" w:cs="Tahoma"/>
                <w:b/>
              </w:rPr>
              <w:t>s</w:t>
            </w:r>
            <w:r w:rsidRPr="005F129D">
              <w:rPr>
                <w:rFonts w:ascii="Tahoma" w:eastAsia="Times New Roman" w:hAnsi="Tahoma" w:cs="Tahoma"/>
                <w:b/>
              </w:rPr>
              <w:t>tenza domiciliar</w:t>
            </w:r>
            <w:r w:rsidR="003903A3" w:rsidRPr="005F129D">
              <w:rPr>
                <w:rFonts w:ascii="Tahoma" w:eastAsia="Times New Roman" w:hAnsi="Tahoma" w:cs="Tahoma"/>
                <w:b/>
              </w:rPr>
              <w:t>e</w:t>
            </w:r>
            <w:r w:rsidRPr="005F129D">
              <w:rPr>
                <w:rFonts w:ascii="Tahoma" w:eastAsia="Times New Roman" w:hAnsi="Tahoma" w:cs="Tahoma"/>
                <w:b/>
              </w:rPr>
              <w:t xml:space="preserve"> </w:t>
            </w:r>
            <w:r w:rsidR="0071672E" w:rsidRPr="005F129D">
              <w:rPr>
                <w:rFonts w:ascii="Tahoma" w:eastAsia="Times New Roman" w:hAnsi="Tahoma" w:cs="Tahoma"/>
                <w:b/>
              </w:rPr>
              <w:t xml:space="preserve"> i</w:t>
            </w:r>
            <w:r w:rsidR="003903A3" w:rsidRPr="005F129D">
              <w:rPr>
                <w:rFonts w:ascii="Tahoma" w:eastAsia="Times New Roman" w:hAnsi="Tahoma" w:cs="Tahoma"/>
                <w:b/>
              </w:rPr>
              <w:t>ntegrata con i servizi sanitari</w:t>
            </w:r>
            <w:r w:rsidR="003903A3">
              <w:rPr>
                <w:rFonts w:ascii="Tahoma" w:eastAsia="Times New Roman" w:hAnsi="Tahoma" w:cs="Tahoma"/>
              </w:rPr>
              <w:t xml:space="preserve"> e’ pari al 10,2, mentre la spesa per </w:t>
            </w:r>
            <w:r w:rsidR="003903A3" w:rsidRPr="005F129D">
              <w:rPr>
                <w:rFonts w:ascii="Tahoma" w:eastAsia="Times New Roman" w:hAnsi="Tahoma" w:cs="Tahoma"/>
                <w:b/>
              </w:rPr>
              <w:t>telesoccorso e teleassistenza</w:t>
            </w:r>
            <w:r w:rsidR="003903A3">
              <w:rPr>
                <w:rFonts w:ascii="Tahoma" w:eastAsia="Times New Roman" w:hAnsi="Tahoma" w:cs="Tahoma"/>
              </w:rPr>
              <w:t xml:space="preserve"> e’ dello 0,6 per cento.</w:t>
            </w:r>
          </w:p>
          <w:p w:rsidR="006B3C82" w:rsidRDefault="006B3C82" w:rsidP="00A3683C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Ma se si analizza in termini assoluto il numero di pazienti presi in carico, il dato diventa davvero preoccupante.</w:t>
            </w:r>
          </w:p>
          <w:tbl>
            <w:tblPr>
              <w:tblW w:w="997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86"/>
              <w:gridCol w:w="2612"/>
              <w:gridCol w:w="2800"/>
            </w:tblGrid>
            <w:tr w:rsidR="006B3C82" w:rsidTr="00A3683C">
              <w:trPr>
                <w:trHeight w:val="95"/>
              </w:trPr>
              <w:tc>
                <w:tcPr>
                  <w:tcW w:w="997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6B3C82" w:rsidRDefault="006B3C82" w:rsidP="006B3C82">
                  <w:pPr>
                    <w:rPr>
                      <w:rFonts w:eastAsia="Times New Roman" w:cstheme="minorHAnsi"/>
                      <w:b/>
                      <w:bCs/>
                    </w:rPr>
                  </w:pPr>
                  <w:r>
                    <w:rPr>
                      <w:rFonts w:eastAsia="Times New Roman" w:cstheme="minorHAnsi"/>
                      <w:b/>
                      <w:bCs/>
                    </w:rPr>
                    <w:t>Tabella 7 L’assistenza domiciliare integrata con servizi sanitari (a) nell’area anziani: indicatori territoriali, 2020</w:t>
                  </w:r>
                </w:p>
              </w:tc>
            </w:tr>
            <w:tr w:rsidR="006B3C82" w:rsidTr="00A3683C">
              <w:trPr>
                <w:trHeight w:val="735"/>
              </w:trPr>
              <w:tc>
                <w:tcPr>
                  <w:tcW w:w="42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3C82" w:rsidRDefault="006B3C82" w:rsidP="006B3C82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Regioni e ripartizioni geografiche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3C82" w:rsidRDefault="006B3C82" w:rsidP="006B3C82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Percentuale di comuni coperti dal servizio (b)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3C82" w:rsidRDefault="006B3C82" w:rsidP="006B3C82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Indicatore di presa in carico degli utenti (c) (per 100 persone)</w:t>
                  </w:r>
                </w:p>
              </w:tc>
            </w:tr>
            <w:tr w:rsidR="006B3C82" w:rsidTr="00A3683C">
              <w:trPr>
                <w:trHeight w:val="255"/>
              </w:trPr>
              <w:tc>
                <w:tcPr>
                  <w:tcW w:w="42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Piemonte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89,2%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                   0,6 </w:t>
                  </w:r>
                </w:p>
              </w:tc>
            </w:tr>
            <w:tr w:rsidR="006B3C82" w:rsidTr="00A3683C">
              <w:trPr>
                <w:trHeight w:val="255"/>
              </w:trPr>
              <w:tc>
                <w:tcPr>
                  <w:tcW w:w="42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3C82" w:rsidRDefault="006B3C82" w:rsidP="006B3C8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Valle d'Aosta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21,6%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                   0,1 </w:t>
                  </w:r>
                </w:p>
              </w:tc>
            </w:tr>
            <w:tr w:rsidR="006B3C82" w:rsidTr="00A3683C">
              <w:trPr>
                <w:trHeight w:val="255"/>
              </w:trPr>
              <w:tc>
                <w:tcPr>
                  <w:tcW w:w="42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Liguria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12,0%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                   0,3 </w:t>
                  </w:r>
                </w:p>
              </w:tc>
            </w:tr>
            <w:tr w:rsidR="006B3C82" w:rsidTr="00A3683C">
              <w:trPr>
                <w:trHeight w:val="255"/>
              </w:trPr>
              <w:tc>
                <w:tcPr>
                  <w:tcW w:w="42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Lombardia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9,2%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                   0,1 </w:t>
                  </w:r>
                </w:p>
              </w:tc>
            </w:tr>
            <w:tr w:rsidR="006B3C82" w:rsidTr="00A3683C">
              <w:trPr>
                <w:trHeight w:val="255"/>
              </w:trPr>
              <w:tc>
                <w:tcPr>
                  <w:tcW w:w="42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Trentino-Alto Adige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7,8%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                   0,1 </w:t>
                  </w:r>
                </w:p>
              </w:tc>
            </w:tr>
            <w:tr w:rsidR="006B3C82" w:rsidTr="00A3683C">
              <w:trPr>
                <w:trHeight w:val="255"/>
              </w:trPr>
              <w:tc>
                <w:tcPr>
                  <w:tcW w:w="42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Veneto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69,6%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                   3,0 </w:t>
                  </w:r>
                </w:p>
              </w:tc>
            </w:tr>
            <w:tr w:rsidR="006B3C82" w:rsidTr="00A3683C">
              <w:trPr>
                <w:trHeight w:val="255"/>
              </w:trPr>
              <w:tc>
                <w:tcPr>
                  <w:tcW w:w="42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Friuli-Venezia Giulia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20,5%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                      -  </w:t>
                  </w:r>
                </w:p>
              </w:tc>
            </w:tr>
            <w:tr w:rsidR="006B3C82" w:rsidTr="00A3683C">
              <w:trPr>
                <w:trHeight w:val="255"/>
              </w:trPr>
              <w:tc>
                <w:tcPr>
                  <w:tcW w:w="42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Emilia-Romagna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34,8%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                   0,5 </w:t>
                  </w:r>
                </w:p>
              </w:tc>
            </w:tr>
            <w:tr w:rsidR="006B3C82" w:rsidTr="00A3683C">
              <w:trPr>
                <w:trHeight w:val="255"/>
              </w:trPr>
              <w:tc>
                <w:tcPr>
                  <w:tcW w:w="42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Toscana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68,1%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                   0,5 </w:t>
                  </w:r>
                </w:p>
              </w:tc>
            </w:tr>
            <w:tr w:rsidR="006B3C82" w:rsidTr="00A3683C">
              <w:trPr>
                <w:trHeight w:val="255"/>
              </w:trPr>
              <w:tc>
                <w:tcPr>
                  <w:tcW w:w="42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Umbria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51,1%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                   0,4 </w:t>
                  </w:r>
                </w:p>
              </w:tc>
            </w:tr>
            <w:tr w:rsidR="006B3C82" w:rsidTr="00A3683C">
              <w:trPr>
                <w:trHeight w:val="255"/>
              </w:trPr>
              <w:tc>
                <w:tcPr>
                  <w:tcW w:w="42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Marche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5,3%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                      -  </w:t>
                  </w:r>
                </w:p>
              </w:tc>
            </w:tr>
            <w:tr w:rsidR="006B3C82" w:rsidTr="00A3683C">
              <w:trPr>
                <w:trHeight w:val="255"/>
              </w:trPr>
              <w:tc>
                <w:tcPr>
                  <w:tcW w:w="42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Lazio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37,0%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                   0,1 </w:t>
                  </w:r>
                </w:p>
              </w:tc>
            </w:tr>
            <w:tr w:rsidR="006B3C82" w:rsidTr="00A3683C">
              <w:trPr>
                <w:trHeight w:val="255"/>
              </w:trPr>
              <w:tc>
                <w:tcPr>
                  <w:tcW w:w="42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Abruzzo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36,4%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                   0,1 </w:t>
                  </w:r>
                </w:p>
              </w:tc>
            </w:tr>
            <w:tr w:rsidR="006B3C82" w:rsidTr="00A3683C">
              <w:trPr>
                <w:trHeight w:val="255"/>
              </w:trPr>
              <w:tc>
                <w:tcPr>
                  <w:tcW w:w="42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Molise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2,2%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                      -  </w:t>
                  </w:r>
                </w:p>
              </w:tc>
            </w:tr>
            <w:tr w:rsidR="006B3C82" w:rsidTr="00A3683C">
              <w:trPr>
                <w:trHeight w:val="255"/>
              </w:trPr>
              <w:tc>
                <w:tcPr>
                  <w:tcW w:w="42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Campania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51,1%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                   0,2 </w:t>
                  </w:r>
                </w:p>
              </w:tc>
            </w:tr>
            <w:tr w:rsidR="006B3C82" w:rsidTr="00A3683C">
              <w:trPr>
                <w:trHeight w:val="255"/>
              </w:trPr>
              <w:tc>
                <w:tcPr>
                  <w:tcW w:w="42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Puglia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74,7%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                   0,3 </w:t>
                  </w:r>
                </w:p>
              </w:tc>
            </w:tr>
            <w:tr w:rsidR="006B3C82" w:rsidTr="00A3683C">
              <w:trPr>
                <w:trHeight w:val="255"/>
              </w:trPr>
              <w:tc>
                <w:tcPr>
                  <w:tcW w:w="42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Basilicata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13,0%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                      -  </w:t>
                  </w:r>
                </w:p>
              </w:tc>
            </w:tr>
            <w:tr w:rsidR="006B3C82" w:rsidTr="00A3683C">
              <w:trPr>
                <w:trHeight w:val="255"/>
              </w:trPr>
              <w:tc>
                <w:tcPr>
                  <w:tcW w:w="42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Calabria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21,8%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                   0,1 </w:t>
                  </w:r>
                </w:p>
              </w:tc>
            </w:tr>
            <w:tr w:rsidR="006B3C82" w:rsidTr="00A3683C">
              <w:trPr>
                <w:trHeight w:val="255"/>
              </w:trPr>
              <w:tc>
                <w:tcPr>
                  <w:tcW w:w="42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Sicilia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35,1%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                   0,1 </w:t>
                  </w:r>
                </w:p>
              </w:tc>
            </w:tr>
            <w:tr w:rsidR="006B3C82" w:rsidTr="00A3683C">
              <w:trPr>
                <w:trHeight w:val="255"/>
              </w:trPr>
              <w:tc>
                <w:tcPr>
                  <w:tcW w:w="42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Sardegna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14,6%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                   0,1 </w:t>
                  </w:r>
                </w:p>
              </w:tc>
            </w:tr>
            <w:tr w:rsidR="006B3C82" w:rsidTr="00A3683C">
              <w:trPr>
                <w:trHeight w:val="255"/>
              </w:trPr>
              <w:tc>
                <w:tcPr>
                  <w:tcW w:w="42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Nord-ovest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jc w:val="right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41,3%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jc w:val="right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                    0,3 </w:t>
                  </w:r>
                </w:p>
              </w:tc>
            </w:tr>
            <w:tr w:rsidR="006B3C82" w:rsidTr="00A3683C">
              <w:trPr>
                <w:trHeight w:val="255"/>
              </w:trPr>
              <w:tc>
                <w:tcPr>
                  <w:tcW w:w="42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Nord-est 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jc w:val="right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44,3%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jc w:val="right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                    1,4 </w:t>
                  </w:r>
                </w:p>
              </w:tc>
            </w:tr>
            <w:tr w:rsidR="006B3C82" w:rsidTr="00A3683C">
              <w:trPr>
                <w:trHeight w:val="255"/>
              </w:trPr>
              <w:tc>
                <w:tcPr>
                  <w:tcW w:w="42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Centro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jc w:val="right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39,7%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jc w:val="right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                    0,3 </w:t>
                  </w:r>
                </w:p>
              </w:tc>
            </w:tr>
            <w:tr w:rsidR="006B3C82" w:rsidTr="00A3683C">
              <w:trPr>
                <w:trHeight w:val="255"/>
              </w:trPr>
              <w:tc>
                <w:tcPr>
                  <w:tcW w:w="42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Sud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jc w:val="right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38,8%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jc w:val="right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                    0,2 </w:t>
                  </w:r>
                </w:p>
              </w:tc>
            </w:tr>
            <w:tr w:rsidR="006B3C82" w:rsidTr="00A3683C">
              <w:trPr>
                <w:trHeight w:val="255"/>
              </w:trPr>
              <w:tc>
                <w:tcPr>
                  <w:tcW w:w="42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Isole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jc w:val="right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25,0%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jc w:val="right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                    0,1 </w:t>
                  </w:r>
                </w:p>
              </w:tc>
            </w:tr>
            <w:tr w:rsidR="006B3C82" w:rsidTr="00A3683C">
              <w:trPr>
                <w:trHeight w:val="255"/>
              </w:trPr>
              <w:tc>
                <w:tcPr>
                  <w:tcW w:w="42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ITALIA 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jc w:val="right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39,4%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B3C82" w:rsidRDefault="006B3C82" w:rsidP="006B3C82">
                  <w:pPr>
                    <w:jc w:val="right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                    0,5 </w:t>
                  </w:r>
                </w:p>
              </w:tc>
            </w:tr>
            <w:tr w:rsidR="006B3C82" w:rsidTr="00A3683C">
              <w:trPr>
                <w:trHeight w:val="228"/>
              </w:trPr>
              <w:tc>
                <w:tcPr>
                  <w:tcW w:w="9972" w:type="dxa"/>
                  <w:gridSpan w:val="3"/>
                  <w:noWrap/>
                  <w:hideMark/>
                </w:tcPr>
                <w:p w:rsidR="006B3C82" w:rsidRPr="00823D16" w:rsidRDefault="006B3C82" w:rsidP="006B3C82">
                  <w:pP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823D1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(a) Questa voce comprende il servizio di assistenza domiciliare integrata con servizi sanitari.</w:t>
                  </w:r>
                </w:p>
              </w:tc>
            </w:tr>
            <w:tr w:rsidR="006B3C82" w:rsidTr="00A3683C">
              <w:trPr>
                <w:trHeight w:val="405"/>
              </w:trPr>
              <w:tc>
                <w:tcPr>
                  <w:tcW w:w="9972" w:type="dxa"/>
                  <w:gridSpan w:val="3"/>
                  <w:noWrap/>
                  <w:hideMark/>
                </w:tcPr>
                <w:p w:rsidR="006B3C82" w:rsidRPr="00823D16" w:rsidRDefault="006B3C82" w:rsidP="006B3C82">
                  <w:pP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823D1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(b) Percentuale di comuni in cui è attivo il servizio. Per il Trentino-Alto Adige, il Nord-est e per il totale Italia l'indicatore è calcolato al netto della provincia di Bolzano.</w:t>
                  </w:r>
                </w:p>
              </w:tc>
            </w:tr>
            <w:tr w:rsidR="006B3C82" w:rsidTr="00A3683C">
              <w:trPr>
                <w:trHeight w:val="450"/>
              </w:trPr>
              <w:tc>
                <w:tcPr>
                  <w:tcW w:w="9972" w:type="dxa"/>
                  <w:gridSpan w:val="3"/>
                  <w:noWrap/>
                  <w:hideMark/>
                </w:tcPr>
                <w:p w:rsidR="006B3C82" w:rsidRDefault="006B3C82" w:rsidP="006B3C82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5F129D">
                    <w:rPr>
                      <w:rFonts w:ascii="Tahoma" w:eastAsia="Times New Roman" w:hAnsi="Tahoma" w:cs="Tahoma"/>
                      <w:color w:val="000000"/>
                    </w:rPr>
                    <w:t>(c) Utenti sul totale della popolazione di riferimento della regione o della ripartizione. Popolazione di riferimento: persone con età maggiore o uguale a 65 anni.</w:t>
                  </w:r>
                </w:p>
                <w:p w:rsidR="00971777" w:rsidRDefault="005F129D" w:rsidP="006B3C82">
                  <w:pPr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</w:rPr>
                  </w:pPr>
                  <w:r w:rsidRPr="005F129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</w:rPr>
                    <w:t>Proprio</w:t>
                  </w:r>
                  <w:r w:rsidR="001B1479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</w:rPr>
                    <w:t xml:space="preserve"> su questi strumenti, l’assistenza domiciliare integrat</w:t>
                  </w:r>
                  <w:r w:rsidR="009D1A12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</w:rPr>
                    <w:t>a e la teleas</w:t>
                  </w:r>
                  <w:r w:rsidR="000C750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</w:rPr>
                    <w:t>sitenza, bisognerà</w:t>
                  </w:r>
                  <w:r w:rsidR="001B1479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</w:rPr>
                    <w:t xml:space="preserve"> puntare per assicurare un sistema sostenibile ed efficace.</w:t>
                  </w:r>
                  <w:r w:rsidR="00B83F98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5F129D" w:rsidRPr="005F129D" w:rsidRDefault="00971777" w:rsidP="006B3C82">
                  <w:pPr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</w:rPr>
                    <w:t xml:space="preserve">Ovviamente, obiettivo imprescindibile </w:t>
                  </w:r>
                  <w:r w:rsidR="00823D16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</w:rPr>
                    <w:t xml:space="preserve">rimane progettare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</w:rPr>
                    <w:t xml:space="preserve">e gestire </w:t>
                  </w:r>
                  <w:r w:rsidR="00823D16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</w:rPr>
                    <w:t xml:space="preserve">le città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</w:rPr>
                    <w:t>in ottica One health, pensate in funzione del benessere sociale, per affrontare le grandi sfide dell’invecchiamento della popolazione, della denatalita’, del climate chang</w:t>
                  </w:r>
                  <w:r w:rsidR="006F5462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</w:rPr>
                    <w:t>e.</w:t>
                  </w:r>
                </w:p>
                <w:p w:rsidR="005F129D" w:rsidRPr="005F129D" w:rsidRDefault="005F129D" w:rsidP="006B3C82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</w:p>
                <w:p w:rsidR="005F129D" w:rsidRPr="005F129D" w:rsidRDefault="005F129D" w:rsidP="006B3C82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</w:p>
              </w:tc>
            </w:tr>
            <w:tr w:rsidR="006B3C82" w:rsidTr="00A3683C">
              <w:trPr>
                <w:trHeight w:val="288"/>
              </w:trPr>
              <w:tc>
                <w:tcPr>
                  <w:tcW w:w="9972" w:type="dxa"/>
                  <w:gridSpan w:val="3"/>
                  <w:noWrap/>
                  <w:hideMark/>
                </w:tcPr>
                <w:p w:rsidR="006B3C82" w:rsidRDefault="006B3C82" w:rsidP="006B3C82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</w:tbl>
          <w:p w:rsidR="006B3C82" w:rsidRDefault="006B3C82" w:rsidP="006B3C82">
            <w:pPr>
              <w:jc w:val="both"/>
              <w:rPr>
                <w:rFonts w:eastAsia="Times New Roman"/>
              </w:rPr>
            </w:pPr>
          </w:p>
          <w:p w:rsidR="006B3C82" w:rsidRDefault="006B3C82" w:rsidP="006B3C82"/>
          <w:p w:rsidR="006B3C82" w:rsidRDefault="006B3C82" w:rsidP="00A3683C">
            <w:pPr>
              <w:rPr>
                <w:rFonts w:ascii="Tahoma" w:eastAsia="Times New Roman" w:hAnsi="Tahoma" w:cs="Tahoma"/>
              </w:rPr>
            </w:pPr>
          </w:p>
          <w:p w:rsidR="00827000" w:rsidRDefault="00827000" w:rsidP="00A3683C">
            <w:pPr>
              <w:rPr>
                <w:rFonts w:ascii="Tahoma" w:eastAsia="Times New Roman" w:hAnsi="Tahoma" w:cs="Tahoma"/>
              </w:rPr>
            </w:pPr>
          </w:p>
          <w:p w:rsidR="00827000" w:rsidRDefault="00827000" w:rsidP="00A3683C">
            <w:pPr>
              <w:rPr>
                <w:rFonts w:ascii="Tahoma" w:eastAsia="Times New Roman" w:hAnsi="Tahoma" w:cs="Tahoma"/>
              </w:rPr>
            </w:pPr>
          </w:p>
          <w:p w:rsidR="00827000" w:rsidRPr="00587C9E" w:rsidRDefault="00827000" w:rsidP="00A3683C">
            <w:pPr>
              <w:rPr>
                <w:rFonts w:ascii="Tahoma" w:eastAsia="Times New Roman" w:hAnsi="Tahoma" w:cs="Tahoma"/>
              </w:rPr>
            </w:pPr>
          </w:p>
        </w:tc>
      </w:tr>
      <w:tr w:rsidR="0071672E" w:rsidRPr="00587C9E" w:rsidTr="00A3683C">
        <w:trPr>
          <w:trHeight w:val="261"/>
        </w:trPr>
        <w:tc>
          <w:tcPr>
            <w:tcW w:w="5000" w:type="pct"/>
            <w:gridSpan w:val="9"/>
          </w:tcPr>
          <w:p w:rsidR="0071672E" w:rsidRPr="00587C9E" w:rsidRDefault="0071672E" w:rsidP="00A3683C">
            <w:pPr>
              <w:rPr>
                <w:rFonts w:ascii="Tahoma" w:eastAsia="Times New Roman" w:hAnsi="Tahoma" w:cs="Tahoma"/>
              </w:rPr>
            </w:pPr>
          </w:p>
        </w:tc>
      </w:tr>
      <w:tr w:rsidR="00827000" w:rsidRPr="00587C9E" w:rsidTr="00A3683C">
        <w:trPr>
          <w:trHeight w:val="261"/>
        </w:trPr>
        <w:tc>
          <w:tcPr>
            <w:tcW w:w="5000" w:type="pct"/>
            <w:gridSpan w:val="9"/>
          </w:tcPr>
          <w:p w:rsidR="00827000" w:rsidRPr="00587C9E" w:rsidRDefault="00827000" w:rsidP="00A3683C">
            <w:pPr>
              <w:rPr>
                <w:rFonts w:ascii="Tahoma" w:eastAsia="Times New Roman" w:hAnsi="Tahoma" w:cs="Tahoma"/>
              </w:rPr>
            </w:pPr>
          </w:p>
        </w:tc>
      </w:tr>
    </w:tbl>
    <w:p w:rsidR="00587C9E" w:rsidRPr="00587C9E" w:rsidRDefault="00587C9E" w:rsidP="00587C9E">
      <w:pPr>
        <w:jc w:val="both"/>
        <w:rPr>
          <w:rFonts w:ascii="Tahoma" w:eastAsia="Times New Roman" w:hAnsi="Tahoma" w:cs="Tahoma"/>
        </w:rPr>
      </w:pPr>
    </w:p>
    <w:p w:rsidR="00CB730E" w:rsidRPr="00FF21CB" w:rsidRDefault="00CB730E">
      <w:pPr>
        <w:rPr>
          <w:rFonts w:ascii="Tahoma" w:hAnsi="Tahoma" w:cs="Tahoma"/>
          <w:sz w:val="24"/>
          <w:szCs w:val="24"/>
        </w:rPr>
      </w:pPr>
    </w:p>
    <w:sectPr w:rsidR="00CB730E" w:rsidRPr="00FF21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N-Bol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07"/>
    <w:rsid w:val="000C750B"/>
    <w:rsid w:val="00167E77"/>
    <w:rsid w:val="001B1479"/>
    <w:rsid w:val="002662F3"/>
    <w:rsid w:val="0027681D"/>
    <w:rsid w:val="002B6CDC"/>
    <w:rsid w:val="00341E1C"/>
    <w:rsid w:val="003903A3"/>
    <w:rsid w:val="003A2945"/>
    <w:rsid w:val="003C5EE2"/>
    <w:rsid w:val="00440B77"/>
    <w:rsid w:val="00447C50"/>
    <w:rsid w:val="00474077"/>
    <w:rsid w:val="0049353E"/>
    <w:rsid w:val="00541BDD"/>
    <w:rsid w:val="00587C9E"/>
    <w:rsid w:val="005D00E4"/>
    <w:rsid w:val="005F129D"/>
    <w:rsid w:val="006B3C82"/>
    <w:rsid w:val="006F5462"/>
    <w:rsid w:val="0071672E"/>
    <w:rsid w:val="00746EF9"/>
    <w:rsid w:val="00753BF9"/>
    <w:rsid w:val="00823D16"/>
    <w:rsid w:val="00827000"/>
    <w:rsid w:val="00893A70"/>
    <w:rsid w:val="00914A4B"/>
    <w:rsid w:val="00926A1E"/>
    <w:rsid w:val="00971777"/>
    <w:rsid w:val="009D1A12"/>
    <w:rsid w:val="00B83F98"/>
    <w:rsid w:val="00C20EBB"/>
    <w:rsid w:val="00C351B9"/>
    <w:rsid w:val="00C95355"/>
    <w:rsid w:val="00CB730E"/>
    <w:rsid w:val="00D8133A"/>
    <w:rsid w:val="00DB5ABE"/>
    <w:rsid w:val="00DC41E8"/>
    <w:rsid w:val="00EC6348"/>
    <w:rsid w:val="00EF7BC8"/>
    <w:rsid w:val="00F304E9"/>
    <w:rsid w:val="00F3746B"/>
    <w:rsid w:val="00F86D07"/>
    <w:rsid w:val="00FF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CEC89-70D0-4582-A641-FD92E98A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1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semiHidden/>
    <w:rsid w:val="0049353E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20EBB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304E9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304E9"/>
    <w:rPr>
      <w:rFonts w:ascii="Calibri" w:eastAsia="Calibri" w:hAnsi="Calibri" w:cs="Calibri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chart" Target="charts/chart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chart" Target="charts/chart2.xml" /><Relationship Id="rId5" Type="http://schemas.openxmlformats.org/officeDocument/2006/relationships/chart" Target="charts/chart1.xml" /><Relationship Id="rId4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ifel365-my.sharepoint.com/personal/giorgia_marinuzzi_fondazioneifel_it/Documents/01ProgettiIFEL/FederSanit&#224;/Rapporto2023/00Elaborazioni_2013_2020.xlsx" TargetMode="External" /><Relationship Id="rId2" Type="http://schemas.microsoft.com/office/2011/relationships/chartColorStyle" Target="colors1.xml" /><Relationship Id="rId1" Type="http://schemas.microsoft.com/office/2011/relationships/chartStyle" Target="style1.xml" 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ifel365-my.sharepoint.com/personal/giorgia_marinuzzi_fondazioneifel_it/Documents/01ProgettiIFEL/FederSanit&#224;/Rapporto2023/00Elaborazioni_2013_2020.xlsx" TargetMode="External" /><Relationship Id="rId2" Type="http://schemas.microsoft.com/office/2011/relationships/chartColorStyle" Target="colors2.xml" /><Relationship Id="rId1" Type="http://schemas.microsoft.com/office/2011/relationships/chartStyle" Target="style2.xml" 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ifel365-my.sharepoint.com/personal/giorgia_marinuzzi_fondazioneifel_it/Documents/01ProgettiIFEL/FederSanit&#224;/Rapporto2023/00Elaborazioni_2013_2020.xlsx" TargetMode="External" /><Relationship Id="rId2" Type="http://schemas.microsoft.com/office/2011/relationships/chartColorStyle" Target="colors3.xml" /><Relationship Id="rId1" Type="http://schemas.microsoft.com/office/2011/relationships/chartStyle" Target="style3.xml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4305555555555556"/>
          <c:y val="0.14583333333333334"/>
          <c:w val="0.46388888888888891"/>
          <c:h val="0.77314814814814814"/>
        </c:manualLayout>
      </c:layout>
      <c:pieChart>
        <c:varyColors val="1"/>
        <c:ser>
          <c:idx val="0"/>
          <c:order val="0"/>
          <c:tx>
            <c:strRef>
              <c:f>Elab2013_2020!$I$202</c:f>
              <c:strCache>
                <c:ptCount val="1"/>
                <c:pt idx="0">
                  <c:v>2020</c:v>
                </c:pt>
              </c:strCache>
            </c:strRef>
          </c:tx>
          <c:dPt>
            <c:idx val="0"/>
            <c:bubble3D val="0"/>
            <c:spPr>
              <a:solidFill>
                <a:schemeClr val="accent4">
                  <a:shade val="47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E80-4949-9436-9A6178429C26}"/>
              </c:ext>
            </c:extLst>
          </c:dPt>
          <c:dPt>
            <c:idx val="1"/>
            <c:bubble3D val="0"/>
            <c:spPr>
              <a:solidFill>
                <a:schemeClr val="accent4">
                  <a:shade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E80-4949-9436-9A6178429C26}"/>
              </c:ext>
            </c:extLst>
          </c:dPt>
          <c:dPt>
            <c:idx val="2"/>
            <c:bubble3D val="0"/>
            <c:spPr>
              <a:solidFill>
                <a:schemeClr val="accent4">
                  <a:shade val="82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E80-4949-9436-9A6178429C2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E80-4949-9436-9A6178429C26}"/>
              </c:ext>
            </c:extLst>
          </c:dPt>
          <c:dPt>
            <c:idx val="4"/>
            <c:bubble3D val="0"/>
            <c:spPr>
              <a:solidFill>
                <a:schemeClr val="accent4">
                  <a:tint val="83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E80-4949-9436-9A6178429C26}"/>
              </c:ext>
            </c:extLst>
          </c:dPt>
          <c:dPt>
            <c:idx val="5"/>
            <c:bubble3D val="0"/>
            <c:spPr>
              <a:solidFill>
                <a:schemeClr val="accent4">
                  <a:tint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1E80-4949-9436-9A6178429C26}"/>
              </c:ext>
            </c:extLst>
          </c:dPt>
          <c:dPt>
            <c:idx val="6"/>
            <c:bubble3D val="0"/>
            <c:spPr>
              <a:solidFill>
                <a:schemeClr val="accent4">
                  <a:tint val="4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1E80-4949-9436-9A6178429C26}"/>
              </c:ext>
            </c:extLst>
          </c:dPt>
          <c:dLbls>
            <c:dLbl>
              <c:idx val="2"/>
              <c:layout>
                <c:manualLayout>
                  <c:x val="-2.9191238160531877E-2"/>
                  <c:y val="3.849650394318471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E80-4949-9436-9A6178429C26}"/>
                </c:ext>
              </c:extLst>
            </c:dLbl>
            <c:dLbl>
              <c:idx val="3"/>
              <c:layout>
                <c:manualLayout>
                  <c:x val="-6.5075130923591878E-2"/>
                  <c:y val="-3.85278521815487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4385239168818537"/>
                      <c:h val="0.1578585922618215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1E80-4949-9436-9A6178429C26}"/>
                </c:ext>
              </c:extLst>
            </c:dLbl>
            <c:dLbl>
              <c:idx val="4"/>
              <c:layout>
                <c:manualLayout>
                  <c:x val="-4.644164090901811E-2"/>
                  <c:y val="-2.2356906715559053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E80-4949-9436-9A6178429C26}"/>
                </c:ext>
              </c:extLst>
            </c:dLbl>
            <c:dLbl>
              <c:idx val="5"/>
              <c:layout>
                <c:manualLayout>
                  <c:x val="-3.3445772809532197E-2"/>
                  <c:y val="-1.545235419548654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E80-4949-9436-9A6178429C26}"/>
                </c:ext>
              </c:extLst>
            </c:dLbl>
            <c:dLbl>
              <c:idx val="6"/>
              <c:layout>
                <c:manualLayout>
                  <c:x val="6.1927279888280666E-2"/>
                  <c:y val="-1.406709266389136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E80-4949-9436-9A6178429C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Elab2013_2020!$H$203:$H$209</c:f>
              <c:strCache>
                <c:ptCount val="7"/>
                <c:pt idx="0">
                  <c:v>Famiglia e minori</c:v>
                </c:pt>
                <c:pt idx="1">
                  <c:v>Disabili</c:v>
                </c:pt>
                <c:pt idx="2">
                  <c:v>Dipendenze</c:v>
                </c:pt>
                <c:pt idx="3">
                  <c:v>Anziani (65 anni e più)</c:v>
                </c:pt>
                <c:pt idx="4">
                  <c:v>Immigrati, Rom, Sinti e Caminanti</c:v>
                </c:pt>
                <c:pt idx="5">
                  <c:v>Povertà, disagio adulti e senza dimora</c:v>
                </c:pt>
                <c:pt idx="6">
                  <c:v>Multiutenza</c:v>
                </c:pt>
              </c:strCache>
            </c:strRef>
          </c:cat>
          <c:val>
            <c:numRef>
              <c:f>Elab2013_2020!$I$203:$I$209</c:f>
              <c:numCache>
                <c:formatCode>0%</c:formatCode>
                <c:ptCount val="7"/>
                <c:pt idx="0">
                  <c:v>0.36927065384307883</c:v>
                </c:pt>
                <c:pt idx="1">
                  <c:v>0.25011617856207741</c:v>
                </c:pt>
                <c:pt idx="2" formatCode="0.0%">
                  <c:v>2.7333614126502067E-3</c:v>
                </c:pt>
                <c:pt idx="3">
                  <c:v>0.15862275197914827</c:v>
                </c:pt>
                <c:pt idx="4">
                  <c:v>4.2924669534846624E-2</c:v>
                </c:pt>
                <c:pt idx="5">
                  <c:v>0.12216190600284184</c:v>
                </c:pt>
                <c:pt idx="6">
                  <c:v>5.4170478665356875E-2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1E80-4949-9436-9A6178429C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Elab2013_2020!$B$356</c:f>
              <c:strCache>
                <c:ptCount val="1"/>
                <c:pt idx="0">
                  <c:v>Disabili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677-4857-B5D2-B441FE625EB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Elab2013_2020!$A$357:$A$377</c:f>
              <c:strCache>
                <c:ptCount val="21"/>
                <c:pt idx="0">
                  <c:v>Valle d'Aosta</c:v>
                </c:pt>
                <c:pt idx="1">
                  <c:v>Calabria</c:v>
                </c:pt>
                <c:pt idx="2">
                  <c:v>Puglia</c:v>
                </c:pt>
                <c:pt idx="3">
                  <c:v>Basilicata</c:v>
                </c:pt>
                <c:pt idx="4">
                  <c:v>Molise</c:v>
                </c:pt>
                <c:pt idx="5">
                  <c:v>Sicilia</c:v>
                </c:pt>
                <c:pt idx="6">
                  <c:v>Campania</c:v>
                </c:pt>
                <c:pt idx="7">
                  <c:v>Umbria</c:v>
                </c:pt>
                <c:pt idx="8">
                  <c:v>Abruzzo</c:v>
                </c:pt>
                <c:pt idx="9">
                  <c:v>Toscana</c:v>
                </c:pt>
                <c:pt idx="10">
                  <c:v>Piemonte</c:v>
                </c:pt>
                <c:pt idx="11">
                  <c:v>Emilia-Romagna</c:v>
                </c:pt>
                <c:pt idx="12">
                  <c:v>Veneto</c:v>
                </c:pt>
                <c:pt idx="13">
                  <c:v>Italia</c:v>
                </c:pt>
                <c:pt idx="14">
                  <c:v>Liguria</c:v>
                </c:pt>
                <c:pt idx="15">
                  <c:v>Lazio</c:v>
                </c:pt>
                <c:pt idx="16">
                  <c:v>Marche</c:v>
                </c:pt>
                <c:pt idx="17">
                  <c:v>Lombardia</c:v>
                </c:pt>
                <c:pt idx="18">
                  <c:v>Sardegna</c:v>
                </c:pt>
                <c:pt idx="19">
                  <c:v>Trentino-Alto Adige</c:v>
                </c:pt>
                <c:pt idx="20">
                  <c:v>Friuli-Venezia Giulia</c:v>
                </c:pt>
              </c:strCache>
            </c:strRef>
          </c:cat>
          <c:val>
            <c:numRef>
              <c:f>Elab2013_2020!$B$357:$B$377</c:f>
              <c:numCache>
                <c:formatCode>#,##0</c:formatCode>
                <c:ptCount val="21"/>
                <c:pt idx="0">
                  <c:v>61</c:v>
                </c:pt>
                <c:pt idx="1">
                  <c:v>218</c:v>
                </c:pt>
                <c:pt idx="2">
                  <c:v>655</c:v>
                </c:pt>
                <c:pt idx="3">
                  <c:v>744</c:v>
                </c:pt>
                <c:pt idx="4">
                  <c:v>843</c:v>
                </c:pt>
                <c:pt idx="5">
                  <c:v>873</c:v>
                </c:pt>
                <c:pt idx="6">
                  <c:v>1112</c:v>
                </c:pt>
                <c:pt idx="7">
                  <c:v>1160</c:v>
                </c:pt>
                <c:pt idx="8">
                  <c:v>1175</c:v>
                </c:pt>
                <c:pt idx="9">
                  <c:v>1307</c:v>
                </c:pt>
                <c:pt idx="10">
                  <c:v>1411</c:v>
                </c:pt>
                <c:pt idx="11">
                  <c:v>1619</c:v>
                </c:pt>
                <c:pt idx="12">
                  <c:v>1658</c:v>
                </c:pt>
                <c:pt idx="13">
                  <c:v>1728</c:v>
                </c:pt>
                <c:pt idx="14">
                  <c:v>1827</c:v>
                </c:pt>
                <c:pt idx="15">
                  <c:v>1947</c:v>
                </c:pt>
                <c:pt idx="16">
                  <c:v>2054</c:v>
                </c:pt>
                <c:pt idx="17">
                  <c:v>2896</c:v>
                </c:pt>
                <c:pt idx="18">
                  <c:v>4013</c:v>
                </c:pt>
                <c:pt idx="19">
                  <c:v>4525</c:v>
                </c:pt>
                <c:pt idx="20">
                  <c:v>6425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677-4857-B5D2-B441FE625E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2009136"/>
        <c:axId val="92034096"/>
      </c:barChart>
      <c:catAx>
        <c:axId val="920091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92034096"/>
        <c:crosses val="autoZero"/>
        <c:auto val="1"/>
        <c:lblAlgn val="ctr"/>
        <c:lblOffset val="100"/>
        <c:noMultiLvlLbl val="0"/>
      </c:catAx>
      <c:valAx>
        <c:axId val="9203409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 sz="1000" b="1" i="0" baseline="0">
                    <a:solidFill>
                      <a:sysClr val="windowText" lastClr="000000"/>
                    </a:solidFill>
                    <a:effectLst/>
                  </a:rPr>
                  <a:t>Spesa dei comuni per i servizi sociali (euro pro capite) - Area di utenza "disabili"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92009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Elab2013_2020!$B$385</c:f>
              <c:strCache>
                <c:ptCount val="1"/>
                <c:pt idx="0">
                  <c:v>Anziani (65 anni e più)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016F-485F-A5E8-61EF33747E7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Elab2013_2020!$A$386:$A$406</c:f>
              <c:strCache>
                <c:ptCount val="21"/>
                <c:pt idx="0">
                  <c:v>Calabria</c:v>
                </c:pt>
                <c:pt idx="1">
                  <c:v>Molise</c:v>
                </c:pt>
                <c:pt idx="2">
                  <c:v>Basilicata</c:v>
                </c:pt>
                <c:pt idx="3">
                  <c:v>Abruzzo</c:v>
                </c:pt>
                <c:pt idx="4">
                  <c:v>Sicilia</c:v>
                </c:pt>
                <c:pt idx="5">
                  <c:v>Umbria</c:v>
                </c:pt>
                <c:pt idx="6">
                  <c:v>Campania</c:v>
                </c:pt>
                <c:pt idx="7">
                  <c:v>Marche</c:v>
                </c:pt>
                <c:pt idx="8">
                  <c:v>Puglia</c:v>
                </c:pt>
                <c:pt idx="9">
                  <c:v>Piemonte</c:v>
                </c:pt>
                <c:pt idx="10">
                  <c:v>Lombardia</c:v>
                </c:pt>
                <c:pt idx="11">
                  <c:v>Veneto</c:v>
                </c:pt>
                <c:pt idx="12">
                  <c:v>Lazio</c:v>
                </c:pt>
                <c:pt idx="13">
                  <c:v>Liguria</c:v>
                </c:pt>
                <c:pt idx="14">
                  <c:v>Italia</c:v>
                </c:pt>
                <c:pt idx="15">
                  <c:v>Emilia-Romagna</c:v>
                </c:pt>
                <c:pt idx="16">
                  <c:v>Toscana</c:v>
                </c:pt>
                <c:pt idx="17">
                  <c:v>Sardegna</c:v>
                </c:pt>
                <c:pt idx="18">
                  <c:v>Friuli-Venezia Giulia</c:v>
                </c:pt>
                <c:pt idx="19">
                  <c:v>Valle d'Aosta</c:v>
                </c:pt>
                <c:pt idx="20">
                  <c:v>Trentino-Alto Adige</c:v>
                </c:pt>
              </c:strCache>
            </c:strRef>
          </c:cat>
          <c:val>
            <c:numRef>
              <c:f>Elab2013_2020!$B$386:$B$406</c:f>
              <c:numCache>
                <c:formatCode>General</c:formatCode>
                <c:ptCount val="21"/>
                <c:pt idx="0">
                  <c:v>18</c:v>
                </c:pt>
                <c:pt idx="1">
                  <c:v>23</c:v>
                </c:pt>
                <c:pt idx="2">
                  <c:v>27</c:v>
                </c:pt>
                <c:pt idx="3">
                  <c:v>33</c:v>
                </c:pt>
                <c:pt idx="4">
                  <c:v>35</c:v>
                </c:pt>
                <c:pt idx="5">
                  <c:v>38</c:v>
                </c:pt>
                <c:pt idx="6">
                  <c:v>46</c:v>
                </c:pt>
                <c:pt idx="7">
                  <c:v>51</c:v>
                </c:pt>
                <c:pt idx="8">
                  <c:v>52</c:v>
                </c:pt>
                <c:pt idx="9">
                  <c:v>75</c:v>
                </c:pt>
                <c:pt idx="10">
                  <c:v>79</c:v>
                </c:pt>
                <c:pt idx="11">
                  <c:v>81</c:v>
                </c:pt>
                <c:pt idx="12">
                  <c:v>85</c:v>
                </c:pt>
                <c:pt idx="13">
                  <c:v>89</c:v>
                </c:pt>
                <c:pt idx="14">
                  <c:v>90</c:v>
                </c:pt>
                <c:pt idx="15">
                  <c:v>99</c:v>
                </c:pt>
                <c:pt idx="16">
                  <c:v>118</c:v>
                </c:pt>
                <c:pt idx="17">
                  <c:v>150</c:v>
                </c:pt>
                <c:pt idx="18">
                  <c:v>252</c:v>
                </c:pt>
                <c:pt idx="19">
                  <c:v>651</c:v>
                </c:pt>
                <c:pt idx="20">
                  <c:v>764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16F-485F-A5E8-61EF33747E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2009136"/>
        <c:axId val="92034096"/>
      </c:barChart>
      <c:catAx>
        <c:axId val="920091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92034096"/>
        <c:crosses val="autoZero"/>
        <c:auto val="1"/>
        <c:lblAlgn val="ctr"/>
        <c:lblOffset val="100"/>
        <c:noMultiLvlLbl val="0"/>
      </c:catAx>
      <c:valAx>
        <c:axId val="9203409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 sz="1000" b="1" i="0" baseline="0">
                    <a:solidFill>
                      <a:sysClr val="windowText" lastClr="000000"/>
                    </a:solidFill>
                    <a:effectLst/>
                  </a:rPr>
                  <a:t>Spesa dei comuni per i servizi sociali (euro pro capite) - Area di utenza "anziani (65 anni e più)"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92009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3332</Words>
  <Characters>18995</Characters>
  <Application>Microsoft Office Word</Application>
  <DocSecurity>0</DocSecurity>
  <Lines>158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Utente guest</cp:lastModifiedBy>
  <cp:revision>2</cp:revision>
  <dcterms:created xsi:type="dcterms:W3CDTF">2023-12-12T09:53:00Z</dcterms:created>
  <dcterms:modified xsi:type="dcterms:W3CDTF">2023-12-12T09:53:00Z</dcterms:modified>
</cp:coreProperties>
</file>